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1398" w14:textId="5EAB69E6" w:rsidR="00A83257" w:rsidRPr="00C86052" w:rsidRDefault="000C602B" w:rsidP="009E5DD2">
      <w:pPr>
        <w:jc w:val="center"/>
        <w:rPr>
          <w:rFonts w:ascii="Arial" w:hAnsi="Arial" w:cs="Arial"/>
          <w:b/>
          <w:bCs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color w:val="000000" w:themeColor="text1"/>
          <w:sz w:val="28"/>
          <w:szCs w:val="32"/>
        </w:rPr>
        <w:t>PROJET D’</w:t>
      </w:r>
      <w:r w:rsidR="005C38C4" w:rsidRPr="00C86052">
        <w:rPr>
          <w:rFonts w:ascii="Arial" w:hAnsi="Arial" w:cs="Arial"/>
          <w:b/>
          <w:bCs/>
          <w:color w:val="000000" w:themeColor="text1"/>
          <w:sz w:val="28"/>
          <w:szCs w:val="32"/>
        </w:rPr>
        <w:t xml:space="preserve">INDICATEURS DE MESURE DE LA COUVERTURE ET DE LA QUALITE DE SERVICES DES RESEAUX MOBILES </w:t>
      </w:r>
    </w:p>
    <w:p w14:paraId="7EE84E2A" w14:textId="3677314C" w:rsidR="00FC6672" w:rsidRPr="00C86052" w:rsidRDefault="005C38C4" w:rsidP="009E5DD2">
      <w:pPr>
        <w:jc w:val="center"/>
        <w:rPr>
          <w:rFonts w:ascii="Arial" w:hAnsi="Arial" w:cs="Arial"/>
          <w:b/>
          <w:bCs/>
          <w:color w:val="000000" w:themeColor="text1"/>
          <w:sz w:val="28"/>
          <w:szCs w:val="32"/>
        </w:rPr>
      </w:pPr>
      <w:r w:rsidRPr="00C86052">
        <w:rPr>
          <w:rFonts w:ascii="Arial" w:hAnsi="Arial" w:cs="Arial"/>
          <w:b/>
          <w:bCs/>
          <w:color w:val="000000" w:themeColor="text1"/>
          <w:sz w:val="28"/>
          <w:szCs w:val="32"/>
        </w:rPr>
        <w:t>2G,</w:t>
      </w:r>
      <w:r w:rsidR="00001D33" w:rsidRPr="00C86052">
        <w:rPr>
          <w:rFonts w:ascii="Arial" w:hAnsi="Arial" w:cs="Arial"/>
          <w:b/>
          <w:bCs/>
          <w:color w:val="000000" w:themeColor="text1"/>
          <w:sz w:val="28"/>
          <w:szCs w:val="32"/>
        </w:rPr>
        <w:t xml:space="preserve"> </w:t>
      </w:r>
      <w:r w:rsidRPr="00C86052">
        <w:rPr>
          <w:rFonts w:ascii="Arial" w:hAnsi="Arial" w:cs="Arial"/>
          <w:b/>
          <w:bCs/>
          <w:color w:val="000000" w:themeColor="text1"/>
          <w:sz w:val="28"/>
          <w:szCs w:val="32"/>
        </w:rPr>
        <w:t>3G et 4G</w:t>
      </w:r>
    </w:p>
    <w:p w14:paraId="4C628222" w14:textId="7A2721D9" w:rsidR="009E5DD2" w:rsidRPr="00C86052" w:rsidRDefault="009E5DD2" w:rsidP="000101B3">
      <w:pPr>
        <w:rPr>
          <w:rFonts w:ascii="Arial" w:hAnsi="Arial" w:cs="Arial"/>
          <w:b/>
          <w:bCs/>
          <w:color w:val="000000" w:themeColor="text1"/>
        </w:rPr>
      </w:pPr>
    </w:p>
    <w:p w14:paraId="2934B1B9" w14:textId="6F3CDA6A" w:rsidR="0033365A" w:rsidRDefault="0033365A" w:rsidP="0033365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Couverture de réseau</w:t>
      </w:r>
    </w:p>
    <w:p w14:paraId="0C941696" w14:textId="77777777" w:rsidR="0033365A" w:rsidRDefault="0033365A" w:rsidP="0033365A">
      <w:pPr>
        <w:pStyle w:val="Paragraphedeliste"/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1277"/>
        <w:gridCol w:w="2835"/>
        <w:gridCol w:w="4252"/>
        <w:gridCol w:w="2693"/>
      </w:tblGrid>
      <w:tr w:rsidR="0033365A" w14:paraId="6AD917C3" w14:textId="77777777" w:rsidTr="0033365A">
        <w:tc>
          <w:tcPr>
            <w:tcW w:w="1277" w:type="dxa"/>
            <w:vAlign w:val="center"/>
          </w:tcPr>
          <w:p w14:paraId="5556CAD1" w14:textId="5986F2A0" w:rsidR="0033365A" w:rsidRDefault="0033365A" w:rsidP="003336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u w:val="single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Code</w:t>
            </w:r>
          </w:p>
        </w:tc>
        <w:tc>
          <w:tcPr>
            <w:tcW w:w="2835" w:type="dxa"/>
            <w:vAlign w:val="center"/>
          </w:tcPr>
          <w:p w14:paraId="7DAF84B2" w14:textId="2916DB1D" w:rsidR="0033365A" w:rsidRDefault="0033365A" w:rsidP="003336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u w:val="single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Indicateur</w:t>
            </w:r>
          </w:p>
        </w:tc>
        <w:tc>
          <w:tcPr>
            <w:tcW w:w="4252" w:type="dxa"/>
            <w:vAlign w:val="center"/>
          </w:tcPr>
          <w:p w14:paraId="51829986" w14:textId="6CE0AC18" w:rsidR="0033365A" w:rsidRDefault="0033365A" w:rsidP="003336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u w:val="single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Définition</w:t>
            </w:r>
          </w:p>
        </w:tc>
        <w:tc>
          <w:tcPr>
            <w:tcW w:w="2693" w:type="dxa"/>
            <w:vAlign w:val="center"/>
          </w:tcPr>
          <w:p w14:paraId="1A488312" w14:textId="549DB14B" w:rsidR="0033365A" w:rsidRDefault="0033365A" w:rsidP="003336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u w:val="single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Seuil</w:t>
            </w:r>
          </w:p>
        </w:tc>
      </w:tr>
      <w:tr w:rsidR="0033365A" w14:paraId="18ACBF83" w14:textId="77777777" w:rsidTr="0033365A">
        <w:tc>
          <w:tcPr>
            <w:tcW w:w="1277" w:type="dxa"/>
            <w:vMerge w:val="restart"/>
            <w:vAlign w:val="center"/>
          </w:tcPr>
          <w:p w14:paraId="257185F5" w14:textId="50A71B4A" w:rsidR="0033365A" w:rsidRPr="0033365A" w:rsidRDefault="0033365A" w:rsidP="0033365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33365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CR</w:t>
            </w:r>
            <w:r w:rsidRPr="0033365A">
              <w:rPr>
                <w:rFonts w:ascii="Arial" w:hAnsi="Arial" w:cs="Arial"/>
                <w:bCs/>
                <w:color w:val="000000" w:themeColor="text1"/>
                <w:sz w:val="20"/>
                <w:szCs w:val="22"/>
                <w:vertAlign w:val="subscript"/>
              </w:rPr>
              <w:t>2G, 3G, 4G</w:t>
            </w:r>
          </w:p>
        </w:tc>
        <w:tc>
          <w:tcPr>
            <w:tcW w:w="2835" w:type="dxa"/>
            <w:vMerge w:val="restart"/>
            <w:vAlign w:val="center"/>
          </w:tcPr>
          <w:p w14:paraId="0F2CD40F" w14:textId="4F05852A" w:rsidR="0033365A" w:rsidRPr="0033365A" w:rsidRDefault="0033365A" w:rsidP="0033365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Niveau de signal reçu en outdoor</w:t>
            </w:r>
          </w:p>
        </w:tc>
        <w:tc>
          <w:tcPr>
            <w:tcW w:w="4252" w:type="dxa"/>
            <w:vAlign w:val="center"/>
          </w:tcPr>
          <w:p w14:paraId="45D004F0" w14:textId="2A7ED406" w:rsidR="0033365A" w:rsidRPr="0033365A" w:rsidRDefault="0033365A" w:rsidP="0033365A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Niveau de signal Rxlev (2G)</w:t>
            </w:r>
          </w:p>
        </w:tc>
        <w:tc>
          <w:tcPr>
            <w:tcW w:w="2693" w:type="dxa"/>
            <w:vAlign w:val="center"/>
          </w:tcPr>
          <w:p w14:paraId="585A3B96" w14:textId="46E974F8" w:rsidR="0033365A" w:rsidRPr="0033365A" w:rsidRDefault="0033365A" w:rsidP="0033365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-95 dBm</w:t>
            </w:r>
          </w:p>
        </w:tc>
      </w:tr>
      <w:tr w:rsidR="0033365A" w14:paraId="0125E279" w14:textId="77777777" w:rsidTr="0033365A">
        <w:tc>
          <w:tcPr>
            <w:tcW w:w="1277" w:type="dxa"/>
            <w:vMerge/>
            <w:vAlign w:val="center"/>
          </w:tcPr>
          <w:p w14:paraId="363BCC26" w14:textId="77777777" w:rsidR="0033365A" w:rsidRPr="0033365A" w:rsidRDefault="0033365A" w:rsidP="0033365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F139331" w14:textId="67F0AED6" w:rsidR="0033365A" w:rsidRPr="0033365A" w:rsidRDefault="0033365A" w:rsidP="0033365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D0279EC" w14:textId="5E98B21C" w:rsidR="0033365A" w:rsidRPr="0033365A" w:rsidRDefault="0033365A" w:rsidP="0033365A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Niveau de signal RSCP (3G)</w:t>
            </w:r>
          </w:p>
        </w:tc>
        <w:tc>
          <w:tcPr>
            <w:tcW w:w="2693" w:type="dxa"/>
            <w:vAlign w:val="center"/>
          </w:tcPr>
          <w:p w14:paraId="030C1247" w14:textId="2A571E85" w:rsidR="0033365A" w:rsidRPr="0033365A" w:rsidRDefault="0033365A" w:rsidP="0033365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-98 dBm</w:t>
            </w:r>
          </w:p>
        </w:tc>
      </w:tr>
      <w:tr w:rsidR="0033365A" w14:paraId="3F90138D" w14:textId="77777777" w:rsidTr="0033365A">
        <w:tc>
          <w:tcPr>
            <w:tcW w:w="1277" w:type="dxa"/>
            <w:vMerge/>
            <w:vAlign w:val="center"/>
          </w:tcPr>
          <w:p w14:paraId="256DE3AC" w14:textId="77777777" w:rsidR="0033365A" w:rsidRPr="0033365A" w:rsidRDefault="0033365A" w:rsidP="0033365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03C4124D" w14:textId="17703E5B" w:rsidR="0033365A" w:rsidRPr="0033365A" w:rsidRDefault="0033365A" w:rsidP="0033365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3FECBFC" w14:textId="22F5C466" w:rsidR="0033365A" w:rsidRPr="0033365A" w:rsidRDefault="0033365A" w:rsidP="0033365A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Niveau de signal RSRP (4G)</w:t>
            </w:r>
          </w:p>
        </w:tc>
        <w:tc>
          <w:tcPr>
            <w:tcW w:w="2693" w:type="dxa"/>
            <w:vAlign w:val="center"/>
          </w:tcPr>
          <w:p w14:paraId="30E440A0" w14:textId="70EB2168" w:rsidR="00DF1DF2" w:rsidRPr="00081685" w:rsidRDefault="0033365A" w:rsidP="0008168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-102 dBm</w:t>
            </w:r>
          </w:p>
        </w:tc>
      </w:tr>
    </w:tbl>
    <w:p w14:paraId="2E24EB81" w14:textId="77777777" w:rsidR="0033365A" w:rsidRPr="0033365A" w:rsidRDefault="0033365A" w:rsidP="0033365A">
      <w:pP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</w:p>
    <w:p w14:paraId="51A61018" w14:textId="4E23ECF3" w:rsidR="000101B3" w:rsidRPr="00C86052" w:rsidRDefault="000101B3" w:rsidP="009E5DD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Services Voix</w:t>
      </w:r>
      <w:r w:rsidR="0006089D"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 xml:space="preserve"> mobile</w:t>
      </w:r>
    </w:p>
    <w:p w14:paraId="6AC43C7C" w14:textId="77777777" w:rsidR="000101B3" w:rsidRPr="00C86052" w:rsidRDefault="000101B3" w:rsidP="000101B3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Style w:val="Grilledutablea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4678"/>
        <w:gridCol w:w="2693"/>
      </w:tblGrid>
      <w:tr w:rsidR="00C86052" w:rsidRPr="00C86052" w14:paraId="7D11BC2B" w14:textId="77777777" w:rsidTr="00C86052">
        <w:trPr>
          <w:trHeight w:val="277"/>
        </w:trPr>
        <w:tc>
          <w:tcPr>
            <w:tcW w:w="1277" w:type="dxa"/>
            <w:vAlign w:val="center"/>
          </w:tcPr>
          <w:p w14:paraId="0551641A" w14:textId="4B863C2F" w:rsidR="000101B3" w:rsidRPr="00C86052" w:rsidRDefault="006428E2" w:rsidP="003242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Code</w:t>
            </w:r>
          </w:p>
        </w:tc>
        <w:tc>
          <w:tcPr>
            <w:tcW w:w="2409" w:type="dxa"/>
            <w:vAlign w:val="center"/>
          </w:tcPr>
          <w:p w14:paraId="1E79E116" w14:textId="77777777" w:rsidR="000101B3" w:rsidRPr="00C86052" w:rsidRDefault="000101B3" w:rsidP="006428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Indicateur</w:t>
            </w:r>
          </w:p>
        </w:tc>
        <w:tc>
          <w:tcPr>
            <w:tcW w:w="4678" w:type="dxa"/>
            <w:vAlign w:val="center"/>
          </w:tcPr>
          <w:p w14:paraId="44BCBFD7" w14:textId="77777777" w:rsidR="000101B3" w:rsidRPr="00C86052" w:rsidRDefault="000101B3" w:rsidP="006428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Définition</w:t>
            </w:r>
          </w:p>
        </w:tc>
        <w:tc>
          <w:tcPr>
            <w:tcW w:w="2693" w:type="dxa"/>
            <w:vAlign w:val="center"/>
          </w:tcPr>
          <w:p w14:paraId="18187373" w14:textId="5E1CB88A" w:rsidR="000101B3" w:rsidRPr="00C86052" w:rsidRDefault="000101B3" w:rsidP="003242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Seuil</w:t>
            </w:r>
            <w:r w:rsidR="00CF5978"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(2G, 3G et 4G)</w:t>
            </w:r>
          </w:p>
        </w:tc>
      </w:tr>
      <w:tr w:rsidR="00C86052" w:rsidRPr="00C86052" w14:paraId="446FC82A" w14:textId="77777777" w:rsidTr="00C86052">
        <w:trPr>
          <w:trHeight w:val="1112"/>
        </w:trPr>
        <w:tc>
          <w:tcPr>
            <w:tcW w:w="1277" w:type="dxa"/>
            <w:vAlign w:val="center"/>
          </w:tcPr>
          <w:p w14:paraId="2C6CC312" w14:textId="77777777" w:rsidR="000101B3" w:rsidRPr="00C86052" w:rsidRDefault="000101B3" w:rsidP="00241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SV1</w:t>
            </w:r>
          </w:p>
        </w:tc>
        <w:tc>
          <w:tcPr>
            <w:tcW w:w="2409" w:type="dxa"/>
            <w:vAlign w:val="center"/>
          </w:tcPr>
          <w:p w14:paraId="4C0404F7" w14:textId="5B48AE25" w:rsidR="00F07188" w:rsidRPr="00C86052" w:rsidRDefault="00A14399" w:rsidP="00FD405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Délai</w:t>
            </w:r>
            <w:r w:rsidR="00CF569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F07188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d’établissement d’appel</w:t>
            </w:r>
          </w:p>
          <w:p w14:paraId="660B32C2" w14:textId="4AB436E7" w:rsidR="000101B3" w:rsidRPr="00C86052" w:rsidRDefault="000101B3" w:rsidP="00FD405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6A720CE" w14:textId="3319BD5A" w:rsidR="000101B3" w:rsidRPr="00C86052" w:rsidRDefault="006A3004" w:rsidP="00FD405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Délai au bout duquel une tentative d’appel</w:t>
            </w:r>
            <w:r w:rsidR="008E07A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donne lieu à un retour de sonnerie d’appel</w:t>
            </w:r>
          </w:p>
        </w:tc>
        <w:tc>
          <w:tcPr>
            <w:tcW w:w="2693" w:type="dxa"/>
            <w:vAlign w:val="center"/>
          </w:tcPr>
          <w:p w14:paraId="64A260FD" w14:textId="4DBAA2C4" w:rsidR="007C4B45" w:rsidRPr="003F080F" w:rsidRDefault="00B86A03" w:rsidP="009338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≤</w:t>
            </w:r>
            <w:r w:rsidR="007F1D4E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93389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8 </w:t>
            </w:r>
            <w:r w:rsidR="0018581E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</w:t>
            </w:r>
            <w:r w:rsidR="00D35B9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pour au moins 95% des appels établis</w:t>
            </w:r>
          </w:p>
        </w:tc>
      </w:tr>
      <w:tr w:rsidR="00C86052" w:rsidRPr="00C86052" w14:paraId="422FF68C" w14:textId="77777777" w:rsidTr="00C86052">
        <w:trPr>
          <w:trHeight w:val="1062"/>
        </w:trPr>
        <w:tc>
          <w:tcPr>
            <w:tcW w:w="1277" w:type="dxa"/>
            <w:vAlign w:val="center"/>
          </w:tcPr>
          <w:p w14:paraId="067DAE6B" w14:textId="01A797C4" w:rsidR="00221657" w:rsidRPr="00C86052" w:rsidRDefault="00221657" w:rsidP="002216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SV2</w:t>
            </w:r>
          </w:p>
        </w:tc>
        <w:tc>
          <w:tcPr>
            <w:tcW w:w="2409" w:type="dxa"/>
            <w:vAlign w:val="center"/>
          </w:tcPr>
          <w:p w14:paraId="1E98E922" w14:textId="3CF0D4B6" w:rsidR="00221657" w:rsidRPr="00C86052" w:rsidRDefault="00221657" w:rsidP="0022165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succès d’appels</w:t>
            </w:r>
          </w:p>
        </w:tc>
        <w:tc>
          <w:tcPr>
            <w:tcW w:w="4678" w:type="dxa"/>
            <w:vAlign w:val="center"/>
          </w:tcPr>
          <w:p w14:paraId="6B3481E9" w14:textId="47A24A92" w:rsidR="00221657" w:rsidRPr="00C86052" w:rsidRDefault="00D35B90" w:rsidP="007F1D4E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</w:rPr>
              <w:t>Taux de tentatives d’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appels établis et maintenus pendant 120 secondes</w:t>
            </w:r>
          </w:p>
        </w:tc>
        <w:tc>
          <w:tcPr>
            <w:tcW w:w="2693" w:type="dxa"/>
            <w:vAlign w:val="center"/>
          </w:tcPr>
          <w:p w14:paraId="6C1214DB" w14:textId="77777777" w:rsidR="00221657" w:rsidRDefault="00221657" w:rsidP="002216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 98%</w:t>
            </w:r>
          </w:p>
          <w:p w14:paraId="5868A933" w14:textId="41AEDAF1" w:rsidR="007C4B45" w:rsidRPr="00C86052" w:rsidRDefault="007C4B45" w:rsidP="002216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C86052" w:rsidRPr="00C86052" w14:paraId="0D0A57C6" w14:textId="77777777" w:rsidTr="00C86052">
        <w:trPr>
          <w:trHeight w:val="1062"/>
        </w:trPr>
        <w:tc>
          <w:tcPr>
            <w:tcW w:w="1277" w:type="dxa"/>
            <w:vAlign w:val="center"/>
          </w:tcPr>
          <w:p w14:paraId="12CB9EB1" w14:textId="59A1248B" w:rsidR="00221657" w:rsidRPr="00C86052" w:rsidRDefault="00221657" w:rsidP="002216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SV3</w:t>
            </w:r>
          </w:p>
        </w:tc>
        <w:tc>
          <w:tcPr>
            <w:tcW w:w="2409" w:type="dxa"/>
            <w:vAlign w:val="center"/>
          </w:tcPr>
          <w:p w14:paraId="0FF927A0" w14:textId="20E0F25A" w:rsidR="00221657" w:rsidRPr="00C86052" w:rsidRDefault="00AE2DBB" w:rsidP="00221657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  <w:lang w:eastAsia="fr-FR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Qualité vocale</w:t>
            </w:r>
          </w:p>
        </w:tc>
        <w:tc>
          <w:tcPr>
            <w:tcW w:w="4678" w:type="dxa"/>
            <w:vAlign w:val="center"/>
          </w:tcPr>
          <w:p w14:paraId="6471D8F9" w14:textId="24555FCF" w:rsidR="00221657" w:rsidRPr="00C86052" w:rsidRDefault="00221657" w:rsidP="0022165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Note MOS des appels établis et maintenus pendant 120 secondes.</w:t>
            </w:r>
          </w:p>
        </w:tc>
        <w:tc>
          <w:tcPr>
            <w:tcW w:w="2693" w:type="dxa"/>
            <w:vAlign w:val="center"/>
          </w:tcPr>
          <w:p w14:paraId="0467613F" w14:textId="45DEA34D" w:rsidR="007C4B45" w:rsidRPr="00C86052" w:rsidRDefault="00B86A03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 w:rsidR="007F1D4E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3,</w:t>
            </w:r>
            <w:r w:rsidR="00B6240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5</w:t>
            </w:r>
            <w:r w:rsidR="00AF62E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pour</w:t>
            </w:r>
            <w:r w:rsidR="00AE2DB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E872FE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l</w:t>
            </w:r>
            <w:r w:rsidR="00AF62E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a moyenne d</w:t>
            </w:r>
            <w:r w:rsidR="00E872FE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es mesures</w:t>
            </w:r>
          </w:p>
        </w:tc>
      </w:tr>
      <w:tr w:rsidR="00C86052" w:rsidRPr="00C86052" w14:paraId="117631F8" w14:textId="77777777" w:rsidTr="00C86052">
        <w:trPr>
          <w:trHeight w:val="1062"/>
        </w:trPr>
        <w:tc>
          <w:tcPr>
            <w:tcW w:w="1277" w:type="dxa"/>
            <w:vAlign w:val="center"/>
          </w:tcPr>
          <w:p w14:paraId="5CBDF4B8" w14:textId="426E41F1" w:rsidR="00221657" w:rsidRPr="00C86052" w:rsidRDefault="00221657" w:rsidP="002216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SV4</w:t>
            </w:r>
          </w:p>
        </w:tc>
        <w:tc>
          <w:tcPr>
            <w:tcW w:w="2409" w:type="dxa"/>
            <w:vAlign w:val="center"/>
          </w:tcPr>
          <w:p w14:paraId="16F8565F" w14:textId="3B4A34A1" w:rsidR="00221657" w:rsidRPr="00C86052" w:rsidRDefault="00221657" w:rsidP="0022165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Taux de </w:t>
            </w:r>
            <w:r w:rsidR="00434983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coupure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d'appels </w:t>
            </w:r>
          </w:p>
          <w:p w14:paraId="7E6214BA" w14:textId="5016327C" w:rsidR="00221657" w:rsidRPr="00C86052" w:rsidRDefault="00221657" w:rsidP="0022165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(Call Drop Rate)</w:t>
            </w:r>
          </w:p>
        </w:tc>
        <w:tc>
          <w:tcPr>
            <w:tcW w:w="4678" w:type="dxa"/>
            <w:vAlign w:val="center"/>
          </w:tcPr>
          <w:p w14:paraId="13C21444" w14:textId="7E9B8CD2" w:rsidR="00221657" w:rsidRPr="00C86052" w:rsidRDefault="00221657" w:rsidP="0022165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d’appels établis, puis interrompus indépendamment du fait de l’appelé ou de l’appelant.</w:t>
            </w:r>
          </w:p>
        </w:tc>
        <w:tc>
          <w:tcPr>
            <w:tcW w:w="2693" w:type="dxa"/>
            <w:vAlign w:val="center"/>
          </w:tcPr>
          <w:p w14:paraId="17902F60" w14:textId="0C032148" w:rsidR="007C4B45" w:rsidRPr="00C86052" w:rsidRDefault="0085613F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≤</w:t>
            </w:r>
            <w:r w:rsidR="0022165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933890">
              <w:rPr>
                <w:rFonts w:ascii="Arial" w:hAnsi="Arial" w:cs="Arial"/>
                <w:color w:val="000000" w:themeColor="text1"/>
                <w:sz w:val="20"/>
                <w:szCs w:val="22"/>
              </w:rPr>
              <w:t>1</w:t>
            </w:r>
            <w:r w:rsidR="0022165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%</w:t>
            </w:r>
          </w:p>
        </w:tc>
      </w:tr>
    </w:tbl>
    <w:p w14:paraId="4D99A6C5" w14:textId="77777777" w:rsidR="000101B3" w:rsidRPr="00C86052" w:rsidRDefault="000101B3" w:rsidP="000101B3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1A9FB593" w14:textId="0B24A9CE" w:rsidR="000101B3" w:rsidRPr="00C86052" w:rsidRDefault="000101B3" w:rsidP="009E5DD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Service</w:t>
      </w:r>
      <w:r w:rsidR="000C3AD9"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</w:t>
      </w: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 xml:space="preserve"> SMS</w:t>
      </w:r>
    </w:p>
    <w:p w14:paraId="7C05925A" w14:textId="77777777" w:rsidR="000101B3" w:rsidRPr="00C86052" w:rsidRDefault="000101B3" w:rsidP="000101B3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1277"/>
        <w:gridCol w:w="2409"/>
        <w:gridCol w:w="4678"/>
        <w:gridCol w:w="2693"/>
      </w:tblGrid>
      <w:tr w:rsidR="00C86052" w:rsidRPr="00C86052" w14:paraId="560C5288" w14:textId="77777777" w:rsidTr="00C86052">
        <w:tc>
          <w:tcPr>
            <w:tcW w:w="1277" w:type="dxa"/>
            <w:vAlign w:val="center"/>
          </w:tcPr>
          <w:p w14:paraId="7CCC919C" w14:textId="2443D6F2" w:rsidR="000101B3" w:rsidRPr="00C86052" w:rsidRDefault="006428E2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Code</w:t>
            </w:r>
          </w:p>
        </w:tc>
        <w:tc>
          <w:tcPr>
            <w:tcW w:w="2409" w:type="dxa"/>
            <w:vAlign w:val="center"/>
          </w:tcPr>
          <w:p w14:paraId="4EFB04E2" w14:textId="77777777" w:rsidR="000101B3" w:rsidRPr="00C86052" w:rsidRDefault="000101B3" w:rsidP="00FD40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Indicateur</w:t>
            </w:r>
          </w:p>
        </w:tc>
        <w:tc>
          <w:tcPr>
            <w:tcW w:w="4678" w:type="dxa"/>
            <w:vAlign w:val="center"/>
          </w:tcPr>
          <w:p w14:paraId="0EF72BA5" w14:textId="77777777" w:rsidR="000101B3" w:rsidRPr="00C86052" w:rsidRDefault="000101B3" w:rsidP="00FD40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Définition</w:t>
            </w:r>
          </w:p>
        </w:tc>
        <w:tc>
          <w:tcPr>
            <w:tcW w:w="2693" w:type="dxa"/>
            <w:vAlign w:val="center"/>
          </w:tcPr>
          <w:p w14:paraId="3B520EBE" w14:textId="0B96A51A" w:rsidR="000101B3" w:rsidRPr="00C86052" w:rsidRDefault="000101B3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Seuil</w:t>
            </w:r>
            <w:r w:rsidR="00CF5978"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(2G, 3G et 4G)</w:t>
            </w:r>
          </w:p>
        </w:tc>
      </w:tr>
      <w:tr w:rsidR="00C86052" w:rsidRPr="00C86052" w14:paraId="6004AFCF" w14:textId="77777777" w:rsidTr="00C86052">
        <w:tc>
          <w:tcPr>
            <w:tcW w:w="1277" w:type="dxa"/>
            <w:vAlign w:val="center"/>
          </w:tcPr>
          <w:p w14:paraId="31C71E7F" w14:textId="2C770CF0" w:rsidR="000101B3" w:rsidRPr="00C86052" w:rsidRDefault="000101B3" w:rsidP="00241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SMS</w:t>
            </w:r>
          </w:p>
        </w:tc>
        <w:tc>
          <w:tcPr>
            <w:tcW w:w="2409" w:type="dxa"/>
            <w:vAlign w:val="center"/>
          </w:tcPr>
          <w:p w14:paraId="29A9937E" w14:textId="2CFBCC42" w:rsidR="000101B3" w:rsidRPr="00C86052" w:rsidRDefault="000101B3" w:rsidP="00006CCF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  <w:lang w:eastAsia="fr-FR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succès de réception de SMS</w:t>
            </w:r>
          </w:p>
        </w:tc>
        <w:tc>
          <w:tcPr>
            <w:tcW w:w="4678" w:type="dxa"/>
            <w:vAlign w:val="center"/>
          </w:tcPr>
          <w:p w14:paraId="4007737C" w14:textId="21D1B96B" w:rsidR="000101B3" w:rsidRPr="00C86052" w:rsidRDefault="00D14114" w:rsidP="00006CCF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SMS envoyés et reçus</w:t>
            </w:r>
            <w:r w:rsidR="00AF62E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par le num</w:t>
            </w:r>
            <w:r w:rsidR="006A630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éro de destination en moins de </w:t>
            </w:r>
            <w:r w:rsidR="00B6240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1</w:t>
            </w:r>
            <w:r w:rsidR="00933890">
              <w:rPr>
                <w:rFonts w:ascii="Arial" w:hAnsi="Arial" w:cs="Arial"/>
                <w:color w:val="000000" w:themeColor="text1"/>
                <w:sz w:val="20"/>
                <w:szCs w:val="22"/>
              </w:rPr>
              <w:t>0</w:t>
            </w:r>
            <w:r w:rsidR="00B6240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AF62E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</w:t>
            </w:r>
            <w:r w:rsidR="00B6240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econdes</w:t>
            </w:r>
          </w:p>
        </w:tc>
        <w:tc>
          <w:tcPr>
            <w:tcW w:w="2693" w:type="dxa"/>
            <w:vAlign w:val="center"/>
          </w:tcPr>
          <w:p w14:paraId="3091AF74" w14:textId="14F16AA7" w:rsidR="000101B3" w:rsidRPr="00C86052" w:rsidRDefault="0085613F" w:rsidP="0032423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2"/>
                <w:lang w:eastAsia="fr-FR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 w:rsidR="000101B3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99%</w:t>
            </w:r>
          </w:p>
        </w:tc>
      </w:tr>
    </w:tbl>
    <w:p w14:paraId="19EDCD84" w14:textId="4001D1DD" w:rsidR="008A3B04" w:rsidRPr="00C86052" w:rsidRDefault="008A3B04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</w:p>
    <w:p w14:paraId="71749B00" w14:textId="0C97E308" w:rsidR="000101B3" w:rsidRPr="00C86052" w:rsidRDefault="000101B3" w:rsidP="009E5DD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Service</w:t>
      </w:r>
      <w:r w:rsidR="000C3AD9"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</w:t>
      </w: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 xml:space="preserve"> USSD</w:t>
      </w:r>
      <w:r w:rsidR="000C3AD9"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 xml:space="preserve"> </w:t>
      </w: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/</w:t>
      </w:r>
      <w:r w:rsidR="000C3AD9"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 xml:space="preserve"> </w:t>
      </w: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Monnaie mobile</w:t>
      </w:r>
    </w:p>
    <w:p w14:paraId="216B3893" w14:textId="77777777" w:rsidR="000101B3" w:rsidRPr="00C86052" w:rsidRDefault="000101B3" w:rsidP="000101B3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Style w:val="Grilledutablea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4678"/>
        <w:gridCol w:w="2693"/>
      </w:tblGrid>
      <w:tr w:rsidR="00C86052" w:rsidRPr="00C86052" w14:paraId="433461C5" w14:textId="77777777" w:rsidTr="00C86052">
        <w:trPr>
          <w:trHeight w:val="271"/>
        </w:trPr>
        <w:tc>
          <w:tcPr>
            <w:tcW w:w="1277" w:type="dxa"/>
            <w:vAlign w:val="center"/>
          </w:tcPr>
          <w:p w14:paraId="296636B2" w14:textId="5DC16498" w:rsidR="000101B3" w:rsidRPr="00C86052" w:rsidRDefault="006428E2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Code</w:t>
            </w:r>
          </w:p>
        </w:tc>
        <w:tc>
          <w:tcPr>
            <w:tcW w:w="2409" w:type="dxa"/>
          </w:tcPr>
          <w:p w14:paraId="514D1597" w14:textId="77777777" w:rsidR="000101B3" w:rsidRPr="00C86052" w:rsidRDefault="000101B3" w:rsidP="00B06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Indicateur</w:t>
            </w:r>
          </w:p>
        </w:tc>
        <w:tc>
          <w:tcPr>
            <w:tcW w:w="4678" w:type="dxa"/>
          </w:tcPr>
          <w:p w14:paraId="15423446" w14:textId="77777777" w:rsidR="000101B3" w:rsidRPr="00C86052" w:rsidRDefault="000101B3" w:rsidP="00B06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Définition</w:t>
            </w:r>
          </w:p>
        </w:tc>
        <w:tc>
          <w:tcPr>
            <w:tcW w:w="2693" w:type="dxa"/>
            <w:vAlign w:val="center"/>
          </w:tcPr>
          <w:p w14:paraId="27DC22EB" w14:textId="529AF782" w:rsidR="000101B3" w:rsidRPr="00C86052" w:rsidRDefault="000101B3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Seuil</w:t>
            </w:r>
            <w:r w:rsidR="00CF5978"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(2G, 3G et 4G)</w:t>
            </w:r>
          </w:p>
        </w:tc>
      </w:tr>
      <w:tr w:rsidR="00C86052" w:rsidRPr="00C86052" w14:paraId="3E84A702" w14:textId="77777777" w:rsidTr="00C86052">
        <w:trPr>
          <w:trHeight w:val="762"/>
        </w:trPr>
        <w:tc>
          <w:tcPr>
            <w:tcW w:w="1277" w:type="dxa"/>
            <w:vAlign w:val="center"/>
          </w:tcPr>
          <w:p w14:paraId="4B979895" w14:textId="05C2FFA9" w:rsidR="000101B3" w:rsidRPr="00C86052" w:rsidRDefault="000101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USSD</w:t>
            </w:r>
          </w:p>
        </w:tc>
        <w:tc>
          <w:tcPr>
            <w:tcW w:w="2409" w:type="dxa"/>
            <w:vAlign w:val="center"/>
          </w:tcPr>
          <w:p w14:paraId="5FE80A1B" w14:textId="44975B77" w:rsidR="000101B3" w:rsidRPr="00C86052" w:rsidRDefault="00D14114" w:rsidP="00FA2067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  <w:lang w:eastAsia="fr-FR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succès de requêtes USSD</w:t>
            </w:r>
          </w:p>
        </w:tc>
        <w:tc>
          <w:tcPr>
            <w:tcW w:w="4678" w:type="dxa"/>
            <w:vAlign w:val="center"/>
          </w:tcPr>
          <w:p w14:paraId="05FDEFCA" w14:textId="24D6BC4E" w:rsidR="006648A7" w:rsidRPr="00C86052" w:rsidRDefault="00D1411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Taux de requêtes USSD ayant </w:t>
            </w:r>
            <w:r w:rsidR="00221357">
              <w:rPr>
                <w:rFonts w:ascii="Arial" w:hAnsi="Arial" w:cs="Arial"/>
                <w:color w:val="000000" w:themeColor="text1"/>
                <w:sz w:val="20"/>
                <w:szCs w:val="22"/>
              </w:rPr>
              <w:t>généré une réponse sous forme d’affichage</w:t>
            </w:r>
            <w:r w:rsidR="00AF62E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en moins de </w:t>
            </w:r>
            <w:r w:rsidR="004B33D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5</w:t>
            </w:r>
            <w:r w:rsidR="00C81043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AF62E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</w:t>
            </w:r>
            <w:r w:rsidR="00C81043">
              <w:rPr>
                <w:rFonts w:ascii="Arial" w:hAnsi="Arial" w:cs="Arial"/>
                <w:color w:val="000000" w:themeColor="text1"/>
                <w:sz w:val="20"/>
                <w:szCs w:val="22"/>
              </w:rPr>
              <w:t>econdes</w:t>
            </w:r>
          </w:p>
        </w:tc>
        <w:tc>
          <w:tcPr>
            <w:tcW w:w="2693" w:type="dxa"/>
            <w:vAlign w:val="center"/>
          </w:tcPr>
          <w:p w14:paraId="599B8686" w14:textId="1655B53F" w:rsidR="007C4B45" w:rsidRPr="00C86052" w:rsidRDefault="008E4F41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 w:rsidR="0085613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99%</w:t>
            </w:r>
          </w:p>
        </w:tc>
      </w:tr>
      <w:tr w:rsidR="00C86052" w:rsidRPr="00C86052" w14:paraId="29FB3745" w14:textId="77777777" w:rsidTr="00C86052">
        <w:trPr>
          <w:trHeight w:val="973"/>
        </w:trPr>
        <w:tc>
          <w:tcPr>
            <w:tcW w:w="1277" w:type="dxa"/>
            <w:vAlign w:val="center"/>
          </w:tcPr>
          <w:p w14:paraId="38A28C2B" w14:textId="5D02C1DE" w:rsidR="000101B3" w:rsidRPr="00C86052" w:rsidRDefault="006C0EE9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</w:t>
            </w:r>
            <w:r w:rsidR="00F35229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F</w:t>
            </w:r>
            <w:r w:rsidR="000101B3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38D78737" w14:textId="54465A32" w:rsidR="0045662D" w:rsidRPr="00C86052" w:rsidRDefault="000101B3" w:rsidP="00BB0A5C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  <w:lang w:eastAsia="fr-FR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Taux de </w:t>
            </w:r>
            <w:r w:rsidR="00BB0A5C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succès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 transactions financières</w:t>
            </w:r>
          </w:p>
        </w:tc>
        <w:tc>
          <w:tcPr>
            <w:tcW w:w="4678" w:type="dxa"/>
            <w:vAlign w:val="center"/>
          </w:tcPr>
          <w:p w14:paraId="2C9DA73B" w14:textId="3771E292" w:rsidR="00A9563F" w:rsidRPr="00C86052" w:rsidRDefault="00457FF4" w:rsidP="0038372E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requête</w:t>
            </w:r>
            <w:r w:rsidR="000A3E85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 services financiers</w:t>
            </w:r>
            <w:r w:rsidR="00A9563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correctement exécutées</w:t>
            </w:r>
            <w:r w:rsidR="00402348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en moins de </w:t>
            </w:r>
            <w:r w:rsidR="00B6240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10 </w:t>
            </w:r>
            <w:r w:rsidR="00402348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</w:t>
            </w:r>
            <w:r w:rsidR="00B6240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econdes</w:t>
            </w:r>
            <w:r w:rsidR="00A9563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  <w:r w:rsidR="006A630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</w:p>
          <w:p w14:paraId="64094C9A" w14:textId="77777777" w:rsidR="00A9563F" w:rsidRPr="00C86052" w:rsidRDefault="00A9563F" w:rsidP="0038372E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0C012584" w14:textId="6536D6D6" w:rsidR="006C0EE9" w:rsidRPr="00C86052" w:rsidRDefault="00D45BCA">
            <w:pPr>
              <w:rPr>
                <w:rFonts w:ascii="Arial" w:hAnsi="Arial" w:cs="Arial"/>
                <w:strike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Une</w:t>
            </w:r>
            <w:r w:rsidR="00A9563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requête de service financier est correctement exécutée </w:t>
            </w:r>
            <w:r w:rsidR="006A630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lorsque la notification </w:t>
            </w:r>
            <w:r w:rsidR="00886DF4">
              <w:rPr>
                <w:rFonts w:ascii="Arial" w:hAnsi="Arial" w:cs="Arial"/>
                <w:color w:val="000000" w:themeColor="text1"/>
                <w:sz w:val="20"/>
                <w:szCs w:val="22"/>
              </w:rPr>
              <w:t>USSD</w:t>
            </w:r>
            <w:r w:rsidR="006A630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 confirmation est </w:t>
            </w:r>
            <w:r w:rsidR="0022135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affichée </w:t>
            </w:r>
            <w:r w:rsidR="00886DF4">
              <w:rPr>
                <w:rFonts w:ascii="Arial" w:hAnsi="Arial" w:cs="Arial"/>
                <w:color w:val="000000" w:themeColor="text1"/>
                <w:sz w:val="20"/>
                <w:szCs w:val="22"/>
              </w:rPr>
              <w:t>sur l’écran de</w:t>
            </w:r>
            <w:r w:rsidR="0022135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l’initiateur</w:t>
            </w:r>
            <w:r w:rsidR="006A630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 la requête.</w:t>
            </w:r>
          </w:p>
        </w:tc>
        <w:tc>
          <w:tcPr>
            <w:tcW w:w="2693" w:type="dxa"/>
            <w:vAlign w:val="center"/>
          </w:tcPr>
          <w:p w14:paraId="2308F712" w14:textId="5463904D" w:rsidR="000101B3" w:rsidRPr="00C86052" w:rsidRDefault="0085613F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≥ </w:t>
            </w:r>
            <w:r w:rsidR="000101B3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99%</w:t>
            </w:r>
          </w:p>
        </w:tc>
      </w:tr>
      <w:tr w:rsidR="00221357" w:rsidRPr="00C86052" w14:paraId="52D96CE9" w14:textId="77777777" w:rsidTr="00C86052">
        <w:trPr>
          <w:trHeight w:val="1249"/>
        </w:trPr>
        <w:tc>
          <w:tcPr>
            <w:tcW w:w="1277" w:type="dxa"/>
            <w:vAlign w:val="center"/>
          </w:tcPr>
          <w:p w14:paraId="62654792" w14:textId="13E223B3" w:rsidR="00221357" w:rsidRPr="00C86052" w:rsidRDefault="00221357" w:rsidP="008A3B0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TF2</w:t>
            </w:r>
          </w:p>
        </w:tc>
        <w:tc>
          <w:tcPr>
            <w:tcW w:w="2409" w:type="dxa"/>
            <w:vAlign w:val="center"/>
          </w:tcPr>
          <w:p w14:paraId="6277A340" w14:textId="754C3D47" w:rsidR="00221357" w:rsidRPr="00C86052" w:rsidRDefault="0022135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Délai de notification de l’exécution </w:t>
            </w:r>
            <w:r w:rsidR="000647D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d’une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transaction financière</w:t>
            </w:r>
          </w:p>
        </w:tc>
        <w:tc>
          <w:tcPr>
            <w:tcW w:w="4678" w:type="dxa"/>
            <w:vAlign w:val="center"/>
          </w:tcPr>
          <w:p w14:paraId="22BEBEB8" w14:textId="5A14548E" w:rsidR="00221357" w:rsidRPr="00C81043" w:rsidRDefault="0022135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Délai qui s’écoule entre l’instant où la transaction financière est exécutée et l’instant où les notifications de confirmation </w:t>
            </w:r>
            <w:r w:rsidR="00886DF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par SMS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sont </w:t>
            </w:r>
            <w:r w:rsidR="00886DF4">
              <w:rPr>
                <w:rFonts w:ascii="Arial" w:hAnsi="Arial" w:cs="Arial"/>
                <w:color w:val="000000" w:themeColor="text1"/>
                <w:sz w:val="20"/>
                <w:szCs w:val="22"/>
              </w:rPr>
              <w:t>envoyés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à l’initiateur et au destinataire de la transaction financière.</w:t>
            </w:r>
          </w:p>
        </w:tc>
        <w:tc>
          <w:tcPr>
            <w:tcW w:w="2693" w:type="dxa"/>
            <w:vAlign w:val="center"/>
          </w:tcPr>
          <w:p w14:paraId="0AA764F9" w14:textId="47F3004C" w:rsidR="007C4B45" w:rsidRPr="00C86052" w:rsidRDefault="00221357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≤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15s</w:t>
            </w:r>
          </w:p>
        </w:tc>
      </w:tr>
      <w:tr w:rsidR="0033365A" w:rsidRPr="00C86052" w14:paraId="173ABFDC" w14:textId="77777777" w:rsidTr="0033365A">
        <w:trPr>
          <w:trHeight w:val="274"/>
        </w:trPr>
        <w:tc>
          <w:tcPr>
            <w:tcW w:w="1277" w:type="dxa"/>
            <w:vAlign w:val="center"/>
          </w:tcPr>
          <w:p w14:paraId="2E5A80AD" w14:textId="4ACF3294" w:rsidR="0033365A" w:rsidRPr="00C86052" w:rsidRDefault="0033365A" w:rsidP="003336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Code</w:t>
            </w:r>
          </w:p>
        </w:tc>
        <w:tc>
          <w:tcPr>
            <w:tcW w:w="2409" w:type="dxa"/>
            <w:vAlign w:val="center"/>
          </w:tcPr>
          <w:p w14:paraId="610741D1" w14:textId="09D42E3D" w:rsidR="0033365A" w:rsidRPr="00C86052" w:rsidRDefault="0033365A" w:rsidP="0033365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Indicateur</w:t>
            </w:r>
          </w:p>
        </w:tc>
        <w:tc>
          <w:tcPr>
            <w:tcW w:w="4678" w:type="dxa"/>
            <w:vAlign w:val="center"/>
          </w:tcPr>
          <w:p w14:paraId="6E74C803" w14:textId="2BFE7ECD" w:rsidR="0033365A" w:rsidRPr="00C81043" w:rsidRDefault="0033365A" w:rsidP="0033365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Définition</w:t>
            </w:r>
          </w:p>
        </w:tc>
        <w:tc>
          <w:tcPr>
            <w:tcW w:w="2693" w:type="dxa"/>
            <w:vAlign w:val="center"/>
          </w:tcPr>
          <w:p w14:paraId="112A1A2C" w14:textId="5D53517E" w:rsidR="0033365A" w:rsidRPr="00C86052" w:rsidRDefault="0033365A" w:rsidP="003336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Seuil (2G, 3G et 4G)</w:t>
            </w:r>
          </w:p>
        </w:tc>
      </w:tr>
      <w:tr w:rsidR="0033365A" w:rsidRPr="00C86052" w14:paraId="7E29ADBF" w14:textId="77777777" w:rsidTr="00C86052">
        <w:trPr>
          <w:trHeight w:val="1249"/>
        </w:trPr>
        <w:tc>
          <w:tcPr>
            <w:tcW w:w="1277" w:type="dxa"/>
            <w:vAlign w:val="center"/>
          </w:tcPr>
          <w:p w14:paraId="2702405A" w14:textId="03DCAB89" w:rsidR="0033365A" w:rsidRPr="00C86052" w:rsidRDefault="0033365A" w:rsidP="003336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TF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14:paraId="1C6B884D" w14:textId="072D4177" w:rsidR="0033365A" w:rsidRPr="00C86052" w:rsidRDefault="0033365A" w:rsidP="0033365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Délai de résolution d’une réclamation pour une transaction financière échouée</w:t>
            </w:r>
          </w:p>
        </w:tc>
        <w:tc>
          <w:tcPr>
            <w:tcW w:w="4678" w:type="dxa"/>
            <w:vAlign w:val="center"/>
          </w:tcPr>
          <w:p w14:paraId="18F36356" w14:textId="6D46EBAA" w:rsidR="0033365A" w:rsidRPr="00C81043" w:rsidRDefault="0033365A" w:rsidP="0033365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1043">
              <w:rPr>
                <w:rFonts w:ascii="Arial" w:hAnsi="Arial" w:cs="Arial"/>
                <w:color w:val="000000" w:themeColor="text1"/>
                <w:sz w:val="20"/>
                <w:szCs w:val="22"/>
              </w:rPr>
              <w:t>Délai qui s’écoule entre l’instant où un échec de transaction financière a été signalé à l’opérateur et l’instant où une correction a été apportée par l’opérateur.</w:t>
            </w:r>
          </w:p>
          <w:p w14:paraId="1DEB8619" w14:textId="77777777" w:rsidR="0033365A" w:rsidRPr="00C81043" w:rsidRDefault="0033365A" w:rsidP="0033365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7E70F1D1" w14:textId="77777777" w:rsidR="0033365A" w:rsidRPr="00C81043" w:rsidRDefault="0033365A" w:rsidP="0033365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1043">
              <w:rPr>
                <w:rFonts w:ascii="Arial" w:hAnsi="Arial" w:cs="Arial"/>
                <w:color w:val="000000" w:themeColor="text1"/>
                <w:sz w:val="20"/>
                <w:szCs w:val="22"/>
              </w:rPr>
              <w:t>La correction d’un échec de transaction financière peut être :</w:t>
            </w:r>
          </w:p>
          <w:p w14:paraId="3668312C" w14:textId="77777777" w:rsidR="0033365A" w:rsidRPr="00C81043" w:rsidRDefault="0033365A" w:rsidP="0033365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1043">
              <w:rPr>
                <w:rFonts w:ascii="Arial" w:hAnsi="Arial" w:cs="Arial"/>
                <w:color w:val="000000" w:themeColor="text1"/>
                <w:sz w:val="20"/>
                <w:szCs w:val="22"/>
              </w:rPr>
              <w:t>-  soit le repositionnement du montant sur le compte de l’initiateur de la transaction ;</w:t>
            </w:r>
          </w:p>
          <w:p w14:paraId="6458B003" w14:textId="7AF95B16" w:rsidR="0033365A" w:rsidRPr="00C86052" w:rsidRDefault="0033365A" w:rsidP="0033365A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</w:pPr>
            <w:r w:rsidRPr="00C81043">
              <w:rPr>
                <w:rFonts w:ascii="Arial" w:hAnsi="Arial" w:cs="Arial"/>
                <w:color w:val="000000" w:themeColor="text1"/>
                <w:sz w:val="20"/>
                <w:szCs w:val="22"/>
              </w:rPr>
              <w:t>- soit le crédit du compte du destinataire de la transaction financière.</w:t>
            </w:r>
          </w:p>
        </w:tc>
        <w:tc>
          <w:tcPr>
            <w:tcW w:w="2693" w:type="dxa"/>
            <w:vAlign w:val="center"/>
          </w:tcPr>
          <w:p w14:paraId="39654C37" w14:textId="45DA8DEB" w:rsidR="0033365A" w:rsidRPr="00C86052" w:rsidRDefault="0033365A" w:rsidP="003336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≤ 6h pour toutes les mesures</w:t>
            </w:r>
          </w:p>
        </w:tc>
      </w:tr>
    </w:tbl>
    <w:p w14:paraId="2E5264A8" w14:textId="77777777" w:rsidR="007C6D9B" w:rsidRPr="00C86052" w:rsidRDefault="007C6D9B" w:rsidP="007C6D9B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69CBE12D" w14:textId="77777777" w:rsidR="007C6D9B" w:rsidRPr="00C86052" w:rsidRDefault="007C6D9B" w:rsidP="007C6D9B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1E13C602" w14:textId="53750A3D" w:rsidR="000101B3" w:rsidRPr="00C86052" w:rsidRDefault="000101B3" w:rsidP="009E5DD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Service</w:t>
      </w:r>
      <w:r w:rsidR="00DF1F77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</w:t>
      </w: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 xml:space="preserve"> de navigation Web</w:t>
      </w:r>
    </w:p>
    <w:p w14:paraId="0F8C822F" w14:textId="1C6AED17" w:rsidR="000101B3" w:rsidRPr="00C86052" w:rsidRDefault="000101B3" w:rsidP="000101B3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Style w:val="Grilledutablea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3686"/>
        <w:gridCol w:w="2268"/>
        <w:gridCol w:w="1417"/>
      </w:tblGrid>
      <w:tr w:rsidR="00C86052" w:rsidRPr="00C86052" w14:paraId="31211D59" w14:textId="41A2065B" w:rsidTr="00C86052">
        <w:trPr>
          <w:trHeight w:val="271"/>
        </w:trPr>
        <w:tc>
          <w:tcPr>
            <w:tcW w:w="1135" w:type="dxa"/>
            <w:vMerge w:val="restart"/>
            <w:vAlign w:val="center"/>
          </w:tcPr>
          <w:p w14:paraId="5B546A99" w14:textId="30BCE84F" w:rsidR="005A1DB7" w:rsidRPr="00C86052" w:rsidRDefault="006428E2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Code</w:t>
            </w:r>
          </w:p>
        </w:tc>
        <w:tc>
          <w:tcPr>
            <w:tcW w:w="2551" w:type="dxa"/>
            <w:vMerge w:val="restart"/>
            <w:vAlign w:val="center"/>
          </w:tcPr>
          <w:p w14:paraId="508A4A65" w14:textId="77777777" w:rsidR="005A1DB7" w:rsidRPr="00C86052" w:rsidRDefault="005A1DB7" w:rsidP="00FA20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Indicateur</w:t>
            </w:r>
          </w:p>
        </w:tc>
        <w:tc>
          <w:tcPr>
            <w:tcW w:w="3686" w:type="dxa"/>
            <w:vMerge w:val="restart"/>
            <w:vAlign w:val="center"/>
          </w:tcPr>
          <w:p w14:paraId="6454E439" w14:textId="77777777" w:rsidR="005A1DB7" w:rsidRPr="00C86052" w:rsidRDefault="005A1DB7" w:rsidP="00FA20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Définition</w:t>
            </w:r>
          </w:p>
        </w:tc>
        <w:tc>
          <w:tcPr>
            <w:tcW w:w="3685" w:type="dxa"/>
            <w:gridSpan w:val="2"/>
            <w:vAlign w:val="center"/>
          </w:tcPr>
          <w:p w14:paraId="7FDAB42F" w14:textId="6072F143" w:rsidR="005A1DB7" w:rsidRPr="00C86052" w:rsidRDefault="005A1DB7" w:rsidP="003242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Seuil</w:t>
            </w:r>
          </w:p>
        </w:tc>
      </w:tr>
      <w:tr w:rsidR="00C86052" w:rsidRPr="00C86052" w14:paraId="58760889" w14:textId="77777777" w:rsidTr="003F080F">
        <w:trPr>
          <w:trHeight w:val="271"/>
        </w:trPr>
        <w:tc>
          <w:tcPr>
            <w:tcW w:w="1135" w:type="dxa"/>
            <w:vMerge/>
            <w:vAlign w:val="center"/>
          </w:tcPr>
          <w:p w14:paraId="48BBF40D" w14:textId="77777777" w:rsidR="005A1DB7" w:rsidRPr="00C86052" w:rsidRDefault="005A1D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6D8E79C7" w14:textId="77777777" w:rsidR="005A1DB7" w:rsidRPr="00C86052" w:rsidRDefault="005A1DB7" w:rsidP="00FA20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0DE2A615" w14:textId="77777777" w:rsidR="005A1DB7" w:rsidRPr="00C86052" w:rsidRDefault="005A1DB7" w:rsidP="00FA20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0A1E90" w14:textId="17405196" w:rsidR="005A1DB7" w:rsidRPr="00C86052" w:rsidRDefault="005A1DB7" w:rsidP="003242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3G</w:t>
            </w:r>
          </w:p>
        </w:tc>
        <w:tc>
          <w:tcPr>
            <w:tcW w:w="1417" w:type="dxa"/>
            <w:vAlign w:val="center"/>
          </w:tcPr>
          <w:p w14:paraId="5E435739" w14:textId="5FE4E05F" w:rsidR="005A1DB7" w:rsidRPr="00C86052" w:rsidRDefault="005A1DB7" w:rsidP="003837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4G</w:t>
            </w:r>
          </w:p>
        </w:tc>
      </w:tr>
      <w:tr w:rsidR="00C86052" w:rsidRPr="00C86052" w14:paraId="5F0B8666" w14:textId="77777777" w:rsidTr="003F080F">
        <w:tc>
          <w:tcPr>
            <w:tcW w:w="1135" w:type="dxa"/>
            <w:vAlign w:val="center"/>
          </w:tcPr>
          <w:p w14:paraId="1B50BF4B" w14:textId="1D467AF4" w:rsidR="007C6B2F" w:rsidRPr="00C86052" w:rsidRDefault="00BB0A5C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NW1</w:t>
            </w:r>
          </w:p>
        </w:tc>
        <w:tc>
          <w:tcPr>
            <w:tcW w:w="2551" w:type="dxa"/>
            <w:vAlign w:val="center"/>
          </w:tcPr>
          <w:p w14:paraId="03C765EF" w14:textId="1AC9783F" w:rsidR="007C6B2F" w:rsidRPr="00C86052" w:rsidRDefault="007C6B2F" w:rsidP="000101B3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d’échec de téléchargement de pages Web</w:t>
            </w:r>
          </w:p>
        </w:tc>
        <w:tc>
          <w:tcPr>
            <w:tcW w:w="3686" w:type="dxa"/>
            <w:vAlign w:val="center"/>
          </w:tcPr>
          <w:p w14:paraId="139E3275" w14:textId="35B66D5B" w:rsidR="007C6B2F" w:rsidRPr="00C86052" w:rsidRDefault="00BB0A5C" w:rsidP="00CA4012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tentatives de téléchargement de pages web interrompus après le début de téléchargement.</w:t>
            </w:r>
            <w:r w:rsidR="007C6B2F" w:rsidRPr="00C86052">
              <w:rPr>
                <w:rFonts w:ascii="Arial" w:hAnsi="Arial" w:cs="Arial"/>
                <w:strike/>
                <w:color w:val="000000" w:themeColor="text1"/>
                <w:sz w:val="20"/>
                <w:szCs w:val="22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3702618F" w14:textId="43AD4770" w:rsidR="007C4B45" w:rsidRPr="00C86052" w:rsidRDefault="0038372E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≤ </w:t>
            </w:r>
            <w:r w:rsidR="00933890">
              <w:rPr>
                <w:rFonts w:ascii="Arial" w:hAnsi="Arial" w:cs="Arial"/>
                <w:color w:val="000000" w:themeColor="text1"/>
                <w:sz w:val="20"/>
                <w:szCs w:val="22"/>
              </w:rPr>
              <w:t>1</w:t>
            </w:r>
            <w:r w:rsidR="007C6B2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7165877C" w14:textId="699A7504" w:rsidR="007C4B45" w:rsidRPr="00C86052" w:rsidRDefault="0038372E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≤ </w:t>
            </w:r>
            <w:r w:rsidR="00933890">
              <w:rPr>
                <w:rFonts w:ascii="Arial" w:hAnsi="Arial" w:cs="Arial"/>
                <w:color w:val="000000" w:themeColor="text1"/>
                <w:sz w:val="20"/>
                <w:szCs w:val="22"/>
              </w:rPr>
              <w:t>1</w:t>
            </w:r>
            <w:r w:rsidR="007C6B2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%</w:t>
            </w:r>
          </w:p>
        </w:tc>
      </w:tr>
      <w:tr w:rsidR="00C86052" w:rsidRPr="00C86052" w14:paraId="2C20B19E" w14:textId="6784DAFA" w:rsidTr="003F080F">
        <w:tc>
          <w:tcPr>
            <w:tcW w:w="1135" w:type="dxa"/>
            <w:vAlign w:val="center"/>
          </w:tcPr>
          <w:p w14:paraId="40364788" w14:textId="686AF098" w:rsidR="005A1DB7" w:rsidRPr="00C86052" w:rsidRDefault="005A1DB7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NW2</w:t>
            </w:r>
          </w:p>
        </w:tc>
        <w:tc>
          <w:tcPr>
            <w:tcW w:w="2551" w:type="dxa"/>
            <w:vAlign w:val="center"/>
          </w:tcPr>
          <w:p w14:paraId="7D6305CB" w14:textId="2C21AEEA" w:rsidR="005A1DB7" w:rsidRPr="00C86052" w:rsidRDefault="00BB0A5C" w:rsidP="000101B3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Délai 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de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télé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chargement d'une page web</w:t>
            </w:r>
          </w:p>
        </w:tc>
        <w:tc>
          <w:tcPr>
            <w:tcW w:w="3686" w:type="dxa"/>
            <w:vAlign w:val="center"/>
          </w:tcPr>
          <w:p w14:paraId="5AE23155" w14:textId="4BC65E38" w:rsidR="005A1DB7" w:rsidRPr="00C86052" w:rsidRDefault="00BB0A5C" w:rsidP="00B76BA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Délai qui s’écoule entre l’envoi de la requête de téléchargement d’une page</w:t>
            </w:r>
            <w:r w:rsidR="008F2D5E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web et son chargement intégral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328B7BFF" w14:textId="0EC86078" w:rsidR="005A1DB7" w:rsidRPr="00C86052" w:rsidRDefault="00434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≤ 10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</w:t>
            </w:r>
          </w:p>
        </w:tc>
        <w:tc>
          <w:tcPr>
            <w:tcW w:w="1417" w:type="dxa"/>
            <w:vAlign w:val="center"/>
          </w:tcPr>
          <w:p w14:paraId="60FCDB3B" w14:textId="658818C8" w:rsidR="005A1DB7" w:rsidRPr="00C86052" w:rsidRDefault="008561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≤</w:t>
            </w:r>
            <w:r w:rsidR="00434983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221357">
              <w:rPr>
                <w:rFonts w:ascii="Arial" w:hAnsi="Arial" w:cs="Arial"/>
                <w:color w:val="000000" w:themeColor="text1"/>
                <w:sz w:val="20"/>
                <w:szCs w:val="22"/>
              </w:rPr>
              <w:t>5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</w:t>
            </w:r>
          </w:p>
        </w:tc>
      </w:tr>
    </w:tbl>
    <w:p w14:paraId="4D163EAE" w14:textId="2C953AA7" w:rsidR="000101B3" w:rsidRPr="00C86052" w:rsidRDefault="000101B3" w:rsidP="000101B3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760D4F54" w14:textId="6420F745" w:rsidR="000101B3" w:rsidRPr="00C86052" w:rsidRDefault="000101B3" w:rsidP="009E5DD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Service</w:t>
      </w:r>
      <w:r w:rsid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</w:t>
      </w: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 xml:space="preserve"> de transmission de données</w:t>
      </w:r>
      <w:r w:rsid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 xml:space="preserve"> (Téléchargements Internet)</w:t>
      </w:r>
    </w:p>
    <w:p w14:paraId="66AE6455" w14:textId="4B4BF030" w:rsidR="000101B3" w:rsidRPr="00C86052" w:rsidRDefault="000101B3" w:rsidP="000101B3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1672"/>
        <w:gridCol w:w="2014"/>
        <w:gridCol w:w="3686"/>
        <w:gridCol w:w="1843"/>
        <w:gridCol w:w="1842"/>
      </w:tblGrid>
      <w:tr w:rsidR="00C86052" w:rsidRPr="00C86052" w14:paraId="31AC307A" w14:textId="400EFFD8" w:rsidTr="00241D3D">
        <w:tc>
          <w:tcPr>
            <w:tcW w:w="1672" w:type="dxa"/>
            <w:vMerge w:val="restart"/>
            <w:vAlign w:val="center"/>
          </w:tcPr>
          <w:p w14:paraId="0F1DC3A7" w14:textId="67F03E3E" w:rsidR="005A1DB7" w:rsidRPr="00C86052" w:rsidRDefault="006428E2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Code</w:t>
            </w:r>
          </w:p>
        </w:tc>
        <w:tc>
          <w:tcPr>
            <w:tcW w:w="2014" w:type="dxa"/>
            <w:vMerge w:val="restart"/>
            <w:vAlign w:val="center"/>
          </w:tcPr>
          <w:p w14:paraId="03E7A587" w14:textId="02DE6EFF" w:rsidR="005A1DB7" w:rsidRPr="00C86052" w:rsidRDefault="005A1DB7" w:rsidP="006428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Indicateur</w:t>
            </w:r>
          </w:p>
        </w:tc>
        <w:tc>
          <w:tcPr>
            <w:tcW w:w="3686" w:type="dxa"/>
            <w:vMerge w:val="restart"/>
            <w:vAlign w:val="center"/>
          </w:tcPr>
          <w:p w14:paraId="68C5E6EF" w14:textId="2A54E3DC" w:rsidR="005A1DB7" w:rsidRPr="00C86052" w:rsidRDefault="005A1DB7" w:rsidP="006428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Définition</w:t>
            </w:r>
          </w:p>
        </w:tc>
        <w:tc>
          <w:tcPr>
            <w:tcW w:w="3685" w:type="dxa"/>
            <w:gridSpan w:val="2"/>
            <w:vAlign w:val="center"/>
          </w:tcPr>
          <w:p w14:paraId="1A79E9D9" w14:textId="272C6A81" w:rsidR="005A1DB7" w:rsidRPr="00C86052" w:rsidRDefault="005A1DB7" w:rsidP="003242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Seuil</w:t>
            </w:r>
          </w:p>
        </w:tc>
      </w:tr>
      <w:tr w:rsidR="00C86052" w:rsidRPr="00C86052" w14:paraId="1CC15C27" w14:textId="77777777" w:rsidTr="003F080F">
        <w:tc>
          <w:tcPr>
            <w:tcW w:w="1672" w:type="dxa"/>
            <w:vMerge/>
            <w:vAlign w:val="center"/>
          </w:tcPr>
          <w:p w14:paraId="2FC55E8C" w14:textId="77777777" w:rsidR="005A1DB7" w:rsidRPr="00C86052" w:rsidRDefault="005A1D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014" w:type="dxa"/>
            <w:vMerge/>
            <w:vAlign w:val="center"/>
          </w:tcPr>
          <w:p w14:paraId="41C8E365" w14:textId="77777777" w:rsidR="005A1DB7" w:rsidRPr="00C86052" w:rsidRDefault="005A1DB7" w:rsidP="006428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52C87EEB" w14:textId="77777777" w:rsidR="005A1DB7" w:rsidRPr="00C86052" w:rsidRDefault="005A1DB7" w:rsidP="006428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B9E66B" w14:textId="13938724" w:rsidR="005A1DB7" w:rsidRPr="00C86052" w:rsidRDefault="005A1DB7" w:rsidP="003242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3G</w:t>
            </w:r>
          </w:p>
        </w:tc>
        <w:tc>
          <w:tcPr>
            <w:tcW w:w="1842" w:type="dxa"/>
            <w:vAlign w:val="center"/>
          </w:tcPr>
          <w:p w14:paraId="26C98A0A" w14:textId="23BC0523" w:rsidR="005A1DB7" w:rsidRPr="00C86052" w:rsidRDefault="005A1DB7" w:rsidP="003837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4G</w:t>
            </w:r>
          </w:p>
        </w:tc>
      </w:tr>
      <w:tr w:rsidR="00C86052" w:rsidRPr="00C86052" w14:paraId="18B584B5" w14:textId="520CDE48" w:rsidTr="003F080F">
        <w:tc>
          <w:tcPr>
            <w:tcW w:w="1672" w:type="dxa"/>
            <w:vAlign w:val="center"/>
          </w:tcPr>
          <w:p w14:paraId="35CC8546" w14:textId="714052FB" w:rsidR="005A1DB7" w:rsidRPr="00C86052" w:rsidRDefault="005A1DB7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TD1</w:t>
            </w:r>
          </w:p>
        </w:tc>
        <w:tc>
          <w:tcPr>
            <w:tcW w:w="2014" w:type="dxa"/>
            <w:vAlign w:val="center"/>
          </w:tcPr>
          <w:p w14:paraId="022196D1" w14:textId="53D9ACDF" w:rsidR="005A1DB7" w:rsidRPr="00C86052" w:rsidRDefault="005A1DB7" w:rsidP="00FA2067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  <w:lang w:eastAsia="fr-FR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Débit montant (</w:t>
            </w:r>
            <w:proofErr w:type="spellStart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uplink</w:t>
            </w:r>
            <w:proofErr w:type="spellEnd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14:paraId="5DA36EDF" w14:textId="68B548D0" w:rsidR="005A1DB7" w:rsidRPr="00C86052" w:rsidRDefault="00AE04AB" w:rsidP="004D1071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  <w:lang w:eastAsia="fr-FR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</w:t>
            </w:r>
            <w:r w:rsidR="003943F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ébit de </w:t>
            </w:r>
            <w:r w:rsidR="004D107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transferts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montants </w:t>
            </w:r>
            <w:r w:rsidR="003943F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(</w:t>
            </w:r>
            <w:proofErr w:type="spellStart"/>
            <w:r w:rsidR="003943F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Upload</w:t>
            </w:r>
            <w:proofErr w:type="spellEnd"/>
            <w:r w:rsidR="003943F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) d’un fichier de 5 mégaoctets vers un serveur</w:t>
            </w:r>
            <w:r w:rsidR="00BC66D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donné.</w:t>
            </w:r>
          </w:p>
        </w:tc>
        <w:tc>
          <w:tcPr>
            <w:tcW w:w="1843" w:type="dxa"/>
            <w:vAlign w:val="center"/>
          </w:tcPr>
          <w:p w14:paraId="61E13B87" w14:textId="27200D26" w:rsidR="005A1DB7" w:rsidRPr="00C86052" w:rsidRDefault="005A1D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 w:rsidR="00085CD3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0B56F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1 Mbps</w:t>
            </w:r>
          </w:p>
        </w:tc>
        <w:tc>
          <w:tcPr>
            <w:tcW w:w="1842" w:type="dxa"/>
            <w:vAlign w:val="center"/>
          </w:tcPr>
          <w:p w14:paraId="52B84FB0" w14:textId="6FD72B83" w:rsidR="007C4B45" w:rsidRPr="00C86052" w:rsidRDefault="0085613F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 w:rsidR="00B8612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933890">
              <w:rPr>
                <w:rFonts w:ascii="Arial" w:hAnsi="Arial" w:cs="Arial"/>
                <w:color w:val="000000" w:themeColor="text1"/>
                <w:sz w:val="20"/>
                <w:szCs w:val="22"/>
              </w:rPr>
              <w:t>6</w:t>
            </w:r>
            <w:r w:rsidR="00B8612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Mbps</w:t>
            </w:r>
          </w:p>
        </w:tc>
      </w:tr>
      <w:tr w:rsidR="00C86052" w:rsidRPr="00C86052" w14:paraId="2C41E534" w14:textId="03D6037C" w:rsidTr="003F080F">
        <w:tc>
          <w:tcPr>
            <w:tcW w:w="1672" w:type="dxa"/>
            <w:vAlign w:val="center"/>
          </w:tcPr>
          <w:p w14:paraId="06B0E55B" w14:textId="0AB5FBA3" w:rsidR="005A1DB7" w:rsidRPr="00C86052" w:rsidRDefault="005A1DB7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TD2</w:t>
            </w:r>
          </w:p>
        </w:tc>
        <w:tc>
          <w:tcPr>
            <w:tcW w:w="2014" w:type="dxa"/>
            <w:vAlign w:val="center"/>
          </w:tcPr>
          <w:p w14:paraId="4B5B801E" w14:textId="419F0C8F" w:rsidR="005A1DB7" w:rsidRPr="00C86052" w:rsidRDefault="005A1DB7" w:rsidP="00FA206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Débit descendant (</w:t>
            </w:r>
            <w:proofErr w:type="spellStart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downlink</w:t>
            </w:r>
            <w:proofErr w:type="spellEnd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14:paraId="104ED13F" w14:textId="2635A431" w:rsidR="005A1DB7" w:rsidRPr="00C86052" w:rsidRDefault="00AE04AB" w:rsidP="00AE04AB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Débit</w:t>
            </w:r>
            <w:r w:rsidR="00BC66D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 </w:t>
            </w:r>
            <w:r w:rsidR="004D107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transferts</w:t>
            </w:r>
            <w:r w:rsidR="00BC66D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descendants </w:t>
            </w:r>
            <w:r w:rsidR="00BC66D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(Download) d’un fichier de 10 mégaoctets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à partir d’un</w:t>
            </w:r>
            <w:r w:rsidR="00BC66D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serveur donné.</w:t>
            </w:r>
          </w:p>
        </w:tc>
        <w:tc>
          <w:tcPr>
            <w:tcW w:w="1843" w:type="dxa"/>
            <w:vAlign w:val="center"/>
          </w:tcPr>
          <w:p w14:paraId="3ABE2944" w14:textId="2CAD2BD0" w:rsidR="005A1DB7" w:rsidRPr="00C86052" w:rsidRDefault="00F216A2" w:rsidP="0038372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2"/>
                <w:lang w:eastAsia="fr-FR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 w:rsidR="00085CD3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933890">
              <w:rPr>
                <w:rFonts w:ascii="Arial" w:hAnsi="Arial" w:cs="Arial"/>
                <w:color w:val="000000" w:themeColor="text1"/>
                <w:sz w:val="20"/>
                <w:szCs w:val="22"/>
              </w:rPr>
              <w:t>3</w:t>
            </w:r>
            <w:r w:rsidR="000B56F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Mbps</w:t>
            </w:r>
          </w:p>
        </w:tc>
        <w:tc>
          <w:tcPr>
            <w:tcW w:w="1842" w:type="dxa"/>
            <w:vAlign w:val="center"/>
          </w:tcPr>
          <w:p w14:paraId="445058C7" w14:textId="042659C0" w:rsidR="007C4B45" w:rsidRPr="00C86052" w:rsidRDefault="00085CD3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≥ </w:t>
            </w:r>
            <w:r w:rsidR="00933890">
              <w:rPr>
                <w:rFonts w:ascii="Arial" w:hAnsi="Arial" w:cs="Arial"/>
                <w:color w:val="000000" w:themeColor="text1"/>
                <w:sz w:val="20"/>
                <w:szCs w:val="22"/>
              </w:rPr>
              <w:t>20</w:t>
            </w:r>
            <w:r w:rsidR="002237EC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Mbps</w:t>
            </w:r>
          </w:p>
        </w:tc>
      </w:tr>
      <w:tr w:rsidR="00C86052" w:rsidRPr="00C86052" w14:paraId="44F1257D" w14:textId="596AB4FD" w:rsidTr="003F080F">
        <w:tc>
          <w:tcPr>
            <w:tcW w:w="1672" w:type="dxa"/>
            <w:vAlign w:val="center"/>
          </w:tcPr>
          <w:p w14:paraId="7702CB03" w14:textId="0D71A325" w:rsidR="005A1DB7" w:rsidRPr="00C86052" w:rsidRDefault="005A1DB7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TD3</w:t>
            </w:r>
          </w:p>
        </w:tc>
        <w:tc>
          <w:tcPr>
            <w:tcW w:w="2014" w:type="dxa"/>
            <w:vAlign w:val="center"/>
          </w:tcPr>
          <w:p w14:paraId="41332B19" w14:textId="0DB1B0AE" w:rsidR="005A1DB7" w:rsidRPr="00C86052" w:rsidRDefault="005A1DB7" w:rsidP="009A25D1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succès de transfert montant (</w:t>
            </w:r>
            <w:proofErr w:type="spellStart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uplink</w:t>
            </w:r>
            <w:proofErr w:type="spellEnd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14:paraId="63094568" w14:textId="4D4A1ABE" w:rsidR="005A1DB7" w:rsidRPr="00C86052" w:rsidRDefault="00514B53" w:rsidP="0038372E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tentatives de transfert</w:t>
            </w:r>
            <w:r w:rsidR="00AE04A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s montants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(</w:t>
            </w:r>
            <w:proofErr w:type="spellStart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upload</w:t>
            </w:r>
            <w:proofErr w:type="spellEnd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) de fichiers</w:t>
            </w:r>
            <w:r w:rsidR="00AE04AB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 5 mégaoctets intégralement effectués.</w:t>
            </w:r>
          </w:p>
        </w:tc>
        <w:tc>
          <w:tcPr>
            <w:tcW w:w="1843" w:type="dxa"/>
            <w:vAlign w:val="center"/>
          </w:tcPr>
          <w:p w14:paraId="0E3B6F93" w14:textId="77777777" w:rsidR="00E238B4" w:rsidRPr="00C86052" w:rsidRDefault="00E238B4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0E693B4C" w14:textId="0AFF60A9" w:rsidR="005A1DB7" w:rsidRPr="00C86052" w:rsidRDefault="00F700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 w:rsidR="0085613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96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%</w:t>
            </w:r>
          </w:p>
          <w:p w14:paraId="75B89320" w14:textId="5F48FEF1" w:rsidR="005A1DB7" w:rsidRPr="00C86052" w:rsidRDefault="005A1D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DAE40EC" w14:textId="550040AF" w:rsidR="005A1DB7" w:rsidRPr="00C86052" w:rsidRDefault="008561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≥ </w:t>
            </w:r>
            <w:r w:rsidR="00F7003E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98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%</w:t>
            </w:r>
          </w:p>
        </w:tc>
      </w:tr>
      <w:tr w:rsidR="00C86052" w:rsidRPr="00C86052" w14:paraId="2688F85A" w14:textId="21110639" w:rsidTr="003F080F">
        <w:tc>
          <w:tcPr>
            <w:tcW w:w="1672" w:type="dxa"/>
            <w:vAlign w:val="center"/>
          </w:tcPr>
          <w:p w14:paraId="5B105041" w14:textId="4D7E76FC" w:rsidR="005A1DB7" w:rsidRPr="00C86052" w:rsidRDefault="005A1DB7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TD</w:t>
            </w:r>
            <w:r w:rsidR="00A37AE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2014" w:type="dxa"/>
            <w:vAlign w:val="center"/>
          </w:tcPr>
          <w:p w14:paraId="1BE3A44F" w14:textId="793F6DAB" w:rsidR="005A1DB7" w:rsidRPr="00C86052" w:rsidRDefault="005A1DB7" w:rsidP="009A25D1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succès de transfert descendant (</w:t>
            </w:r>
            <w:proofErr w:type="spellStart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downlink</w:t>
            </w:r>
            <w:proofErr w:type="spellEnd"/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14:paraId="0B7F1A99" w14:textId="77777777" w:rsidR="00A56307" w:rsidRPr="00C86052" w:rsidRDefault="00A56307" w:rsidP="009A25D1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0723243F" w14:textId="66B56346" w:rsidR="005A1DB7" w:rsidRPr="00C86052" w:rsidRDefault="00AE04AB" w:rsidP="00DD16F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Taux de tentatives de transferts descendants (download) de fichiers de 10 méga</w:t>
            </w:r>
            <w:r w:rsidR="00DD16F6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octets intégralement effectués.</w:t>
            </w:r>
          </w:p>
        </w:tc>
        <w:tc>
          <w:tcPr>
            <w:tcW w:w="1843" w:type="dxa"/>
            <w:vAlign w:val="center"/>
          </w:tcPr>
          <w:p w14:paraId="6A324B8B" w14:textId="5DE020B8" w:rsidR="005A1DB7" w:rsidRPr="00C86052" w:rsidRDefault="00F700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≥</w:t>
            </w:r>
            <w:r w:rsidR="0085613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96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14:paraId="25288237" w14:textId="1D2F94A2" w:rsidR="005A1DB7" w:rsidRPr="00C86052" w:rsidRDefault="008561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≥ </w:t>
            </w:r>
            <w:r w:rsidR="00F7003E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98</w:t>
            </w:r>
            <w:r w:rsidR="005A1DB7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%</w:t>
            </w:r>
          </w:p>
        </w:tc>
      </w:tr>
    </w:tbl>
    <w:p w14:paraId="677CAB6A" w14:textId="55BEA4FE" w:rsidR="00B86A03" w:rsidRPr="00C86052" w:rsidRDefault="00B86A03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</w:p>
    <w:p w14:paraId="24736FFF" w14:textId="4E2B1FE4" w:rsidR="000101B3" w:rsidRPr="00C86052" w:rsidRDefault="00B47CDD" w:rsidP="009E5DD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Infrastructure</w:t>
      </w:r>
      <w:r w:rsidR="00DF1F77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>s de</w:t>
      </w: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t xml:space="preserve"> réseau</w:t>
      </w:r>
    </w:p>
    <w:p w14:paraId="5FBC7662" w14:textId="5C1676F3" w:rsidR="00B47CDD" w:rsidRPr="00C86052" w:rsidRDefault="00B47CDD" w:rsidP="000101B3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1637"/>
        <w:gridCol w:w="2049"/>
        <w:gridCol w:w="3686"/>
        <w:gridCol w:w="3685"/>
      </w:tblGrid>
      <w:tr w:rsidR="00C86052" w:rsidRPr="00C86052" w14:paraId="18EB064B" w14:textId="77777777" w:rsidTr="00241D3D">
        <w:tc>
          <w:tcPr>
            <w:tcW w:w="1637" w:type="dxa"/>
            <w:vAlign w:val="center"/>
          </w:tcPr>
          <w:p w14:paraId="370A018B" w14:textId="4C9178A2" w:rsidR="00B47CDD" w:rsidRPr="00C86052" w:rsidRDefault="006428E2" w:rsidP="006428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Code</w:t>
            </w:r>
          </w:p>
        </w:tc>
        <w:tc>
          <w:tcPr>
            <w:tcW w:w="2049" w:type="dxa"/>
            <w:vAlign w:val="center"/>
          </w:tcPr>
          <w:p w14:paraId="15EA062B" w14:textId="77F822F2" w:rsidR="00B47CDD" w:rsidRPr="00C86052" w:rsidRDefault="00B47CDD" w:rsidP="006428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Indicateur</w:t>
            </w:r>
          </w:p>
        </w:tc>
        <w:tc>
          <w:tcPr>
            <w:tcW w:w="3686" w:type="dxa"/>
            <w:vAlign w:val="center"/>
          </w:tcPr>
          <w:p w14:paraId="4DFB5CD6" w14:textId="05618671" w:rsidR="00B47CDD" w:rsidRPr="00C86052" w:rsidRDefault="00B47CDD" w:rsidP="006428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Définition</w:t>
            </w:r>
          </w:p>
        </w:tc>
        <w:tc>
          <w:tcPr>
            <w:tcW w:w="3685" w:type="dxa"/>
            <w:vAlign w:val="center"/>
          </w:tcPr>
          <w:p w14:paraId="3F2566F1" w14:textId="5F98C2D9" w:rsidR="00B47CDD" w:rsidRPr="00C86052" w:rsidRDefault="00B47CDD" w:rsidP="003242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Seuil</w:t>
            </w:r>
            <w:r w:rsidR="00CF5978" w:rsidRPr="00C8605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(2G, 3G et 4G)</w:t>
            </w:r>
          </w:p>
        </w:tc>
      </w:tr>
      <w:tr w:rsidR="00C86052" w:rsidRPr="00C86052" w14:paraId="79A88575" w14:textId="77777777" w:rsidTr="00241D3D">
        <w:tc>
          <w:tcPr>
            <w:tcW w:w="1637" w:type="dxa"/>
            <w:vAlign w:val="center"/>
          </w:tcPr>
          <w:p w14:paraId="0B5D1D74" w14:textId="215F62D3" w:rsidR="00B47CDD" w:rsidRPr="00C86052" w:rsidRDefault="00B47CDD" w:rsidP="00241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DR</w:t>
            </w:r>
            <w:r w:rsidR="00584AA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2049" w:type="dxa"/>
            <w:vAlign w:val="center"/>
          </w:tcPr>
          <w:p w14:paraId="0E3F9315" w14:textId="1918A251" w:rsidR="00B47CDD" w:rsidRPr="00C86052" w:rsidRDefault="00221357" w:rsidP="000A5080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Nombre </w:t>
            </w:r>
            <w:r w:rsidR="00B6240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d’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i</w:t>
            </w:r>
            <w:r w:rsidR="000A5080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ndisponibilité </w:t>
            </w:r>
            <w:r w:rsidR="00F07188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d'une station de base</w:t>
            </w:r>
          </w:p>
        </w:tc>
        <w:tc>
          <w:tcPr>
            <w:tcW w:w="3686" w:type="dxa"/>
            <w:vAlign w:val="center"/>
          </w:tcPr>
          <w:p w14:paraId="37FA38FD" w14:textId="6117AE81" w:rsidR="00B47CDD" w:rsidRPr="00C86052" w:rsidRDefault="008F1178" w:rsidP="00C86052">
            <w:pPr>
              <w:rPr>
                <w:rFonts w:ascii="Arial" w:hAnsi="Arial" w:cs="Arial"/>
                <w:strike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Nombre de fois qu’une </w:t>
            </w:r>
            <w:r w:rsidR="008A3B04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même station de base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est resté</w:t>
            </w:r>
            <w:r w:rsidR="008A3B04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e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indisponible </w:t>
            </w:r>
            <w:r w:rsidR="00B6240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pour une durée</w:t>
            </w:r>
            <w:r w:rsidR="00514B53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B62401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d’</w:t>
            </w:r>
            <w:r w:rsidR="008A3B04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au moins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une heure </w:t>
            </w:r>
            <w:r w:rsidR="0068213E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pendant les 30 derniers jours.</w:t>
            </w:r>
          </w:p>
        </w:tc>
        <w:tc>
          <w:tcPr>
            <w:tcW w:w="3685" w:type="dxa"/>
            <w:vAlign w:val="center"/>
          </w:tcPr>
          <w:p w14:paraId="156909C5" w14:textId="1D77B32C" w:rsidR="004F7E67" w:rsidRPr="00C86052" w:rsidRDefault="008F1178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≤</w:t>
            </w:r>
            <w:r w:rsidR="0085613F"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3</w:t>
            </w:r>
          </w:p>
        </w:tc>
      </w:tr>
      <w:tr w:rsidR="00C86052" w:rsidRPr="00C86052" w14:paraId="29B294B5" w14:textId="77777777" w:rsidTr="00C86052">
        <w:trPr>
          <w:trHeight w:val="534"/>
        </w:trPr>
        <w:tc>
          <w:tcPr>
            <w:tcW w:w="1637" w:type="dxa"/>
            <w:vMerge w:val="restart"/>
            <w:vAlign w:val="center"/>
          </w:tcPr>
          <w:p w14:paraId="58584EE9" w14:textId="5E4F80F3" w:rsidR="00C86052" w:rsidRPr="00C86052" w:rsidRDefault="00C86052" w:rsidP="00584A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DR2</w:t>
            </w:r>
          </w:p>
        </w:tc>
        <w:tc>
          <w:tcPr>
            <w:tcW w:w="2049" w:type="dxa"/>
            <w:vMerge w:val="restart"/>
            <w:vAlign w:val="center"/>
          </w:tcPr>
          <w:p w14:paraId="4ED82220" w14:textId="16FE394D" w:rsidR="00C86052" w:rsidRPr="00C86052" w:rsidRDefault="00C86052" w:rsidP="00584AAF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Délai d’Indisponibilité d'une station de base en zone dense</w:t>
            </w:r>
          </w:p>
        </w:tc>
        <w:tc>
          <w:tcPr>
            <w:tcW w:w="3686" w:type="dxa"/>
            <w:vAlign w:val="center"/>
          </w:tcPr>
          <w:p w14:paraId="54A20B87" w14:textId="648E63BA" w:rsidR="00C86052" w:rsidRPr="00C86052" w:rsidRDefault="00C86052" w:rsidP="00C03F19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Délai d'indisponibilité d'une même station de base par jour en zone densément couverte</w:t>
            </w:r>
          </w:p>
        </w:tc>
        <w:tc>
          <w:tcPr>
            <w:tcW w:w="3685" w:type="dxa"/>
            <w:vAlign w:val="center"/>
          </w:tcPr>
          <w:p w14:paraId="67A11514" w14:textId="4453E4A2" w:rsidR="004F7E67" w:rsidRPr="00C86052" w:rsidRDefault="00C86052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≤ 6h</w:t>
            </w:r>
          </w:p>
        </w:tc>
      </w:tr>
      <w:tr w:rsidR="00C86052" w:rsidRPr="00C86052" w14:paraId="54E1D097" w14:textId="77777777" w:rsidTr="00241D3D">
        <w:tc>
          <w:tcPr>
            <w:tcW w:w="1637" w:type="dxa"/>
            <w:vMerge/>
            <w:vAlign w:val="center"/>
          </w:tcPr>
          <w:p w14:paraId="0AD40D0B" w14:textId="65C5E146" w:rsidR="00C86052" w:rsidRPr="00C86052" w:rsidRDefault="00C86052" w:rsidP="00584A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14:paraId="0405189F" w14:textId="17E69CB9" w:rsidR="00C86052" w:rsidRPr="00C86052" w:rsidRDefault="00C86052" w:rsidP="00584AAF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28E3306" w14:textId="4594C0BE" w:rsidR="00C86052" w:rsidRPr="00C86052" w:rsidRDefault="00C86052" w:rsidP="00C03F19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Délai d'indisponibilité d'une même station de base par jour en zone de faible densité de couverture</w:t>
            </w:r>
            <w:r w:rsidR="0022135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et d’accès difficile.</w:t>
            </w:r>
          </w:p>
        </w:tc>
        <w:tc>
          <w:tcPr>
            <w:tcW w:w="3685" w:type="dxa"/>
            <w:vAlign w:val="center"/>
          </w:tcPr>
          <w:p w14:paraId="34484DEA" w14:textId="7F0D5A95" w:rsidR="004F7E67" w:rsidRPr="00C86052" w:rsidRDefault="00C86052" w:rsidP="003F08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86052">
              <w:rPr>
                <w:rFonts w:ascii="Arial" w:hAnsi="Arial" w:cs="Arial"/>
                <w:color w:val="000000" w:themeColor="text1"/>
                <w:sz w:val="20"/>
                <w:szCs w:val="22"/>
              </w:rPr>
              <w:t>≤ 12h</w:t>
            </w:r>
          </w:p>
        </w:tc>
      </w:tr>
    </w:tbl>
    <w:p w14:paraId="33E4C75C" w14:textId="77777777" w:rsidR="001872BB" w:rsidRDefault="001872BB" w:rsidP="001872BB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24A1531F" w14:textId="77777777" w:rsidR="0033365A" w:rsidRDefault="0033365A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br w:type="page"/>
      </w:r>
    </w:p>
    <w:p w14:paraId="4C28224A" w14:textId="54BAFDA4" w:rsidR="0041089D" w:rsidRDefault="0041089D" w:rsidP="001872BB">
      <w:pPr>
        <w:rPr>
          <w:rFonts w:ascii="Arial" w:hAnsi="Arial" w:cs="Arial"/>
          <w:b/>
          <w:bCs/>
          <w:color w:val="000000" w:themeColor="text1"/>
          <w:sz w:val="20"/>
          <w:szCs w:val="22"/>
        </w:rPr>
      </w:pP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  <w:u w:val="single"/>
        </w:rPr>
        <w:lastRenderedPageBreak/>
        <w:t>Remarques</w:t>
      </w:r>
      <w:r w:rsidRPr="00C86052">
        <w:rPr>
          <w:rFonts w:ascii="Arial" w:hAnsi="Arial" w:cs="Arial"/>
          <w:b/>
          <w:bCs/>
          <w:color w:val="000000" w:themeColor="text1"/>
          <w:sz w:val="20"/>
          <w:szCs w:val="22"/>
        </w:rPr>
        <w:t xml:space="preserve"> : </w:t>
      </w:r>
    </w:p>
    <w:p w14:paraId="10BFB8C6" w14:textId="77777777" w:rsidR="001872BB" w:rsidRPr="00C86052" w:rsidRDefault="001872BB" w:rsidP="001872BB">
      <w:pPr>
        <w:rPr>
          <w:rFonts w:ascii="Arial" w:hAnsi="Arial" w:cs="Arial"/>
          <w:b/>
          <w:bCs/>
          <w:color w:val="000000" w:themeColor="text1"/>
          <w:sz w:val="20"/>
          <w:szCs w:val="22"/>
        </w:rPr>
      </w:pPr>
    </w:p>
    <w:p w14:paraId="18F712A6" w14:textId="6C38441D" w:rsidR="0041089D" w:rsidRPr="00C86052" w:rsidRDefault="00D74705" w:rsidP="001872BB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bCs/>
          <w:color w:val="000000" w:themeColor="text1"/>
          <w:sz w:val="20"/>
          <w:szCs w:val="22"/>
        </w:rPr>
        <w:t>Chacun des indicateurs est</w:t>
      </w:r>
      <w:r w:rsidR="0041089D" w:rsidRPr="00C86052">
        <w:rPr>
          <w:rFonts w:ascii="Arial" w:hAnsi="Arial" w:cs="Arial"/>
          <w:bCs/>
          <w:color w:val="000000" w:themeColor="text1"/>
          <w:sz w:val="20"/>
          <w:szCs w:val="22"/>
        </w:rPr>
        <w:t xml:space="preserve"> </w:t>
      </w:r>
      <w:r w:rsidR="00221357">
        <w:rPr>
          <w:rFonts w:ascii="Arial" w:hAnsi="Arial" w:cs="Arial"/>
          <w:bCs/>
          <w:color w:val="000000" w:themeColor="text1"/>
          <w:sz w:val="20"/>
          <w:szCs w:val="22"/>
        </w:rPr>
        <w:t>calculé</w:t>
      </w:r>
      <w:r w:rsidR="0041089D" w:rsidRPr="00C86052">
        <w:rPr>
          <w:rFonts w:ascii="Arial" w:hAnsi="Arial" w:cs="Arial"/>
          <w:bCs/>
          <w:color w:val="000000" w:themeColor="text1"/>
          <w:sz w:val="20"/>
          <w:szCs w:val="22"/>
        </w:rPr>
        <w:t xml:space="preserve"> pour </w:t>
      </w:r>
      <w:r w:rsidR="00886DF4">
        <w:rPr>
          <w:rFonts w:ascii="Arial" w:hAnsi="Arial" w:cs="Arial"/>
          <w:bCs/>
          <w:color w:val="000000" w:themeColor="text1"/>
          <w:sz w:val="20"/>
          <w:szCs w:val="22"/>
        </w:rPr>
        <w:t>la base des mesures effectuées dans la zone concernée</w:t>
      </w:r>
      <w:r w:rsidR="0041089D" w:rsidRPr="00C86052">
        <w:rPr>
          <w:rFonts w:ascii="Arial" w:hAnsi="Arial" w:cs="Arial"/>
          <w:bCs/>
          <w:color w:val="000000" w:themeColor="text1"/>
          <w:sz w:val="20"/>
          <w:szCs w:val="22"/>
        </w:rPr>
        <w:t xml:space="preserve"> </w:t>
      </w:r>
      <w:r w:rsidR="001872BB">
        <w:rPr>
          <w:rFonts w:ascii="Arial" w:hAnsi="Arial" w:cs="Arial"/>
          <w:bCs/>
          <w:color w:val="000000" w:themeColor="text1"/>
          <w:sz w:val="20"/>
          <w:szCs w:val="22"/>
        </w:rPr>
        <w:t>(Villes, Villages, Quartiers, etc…)</w:t>
      </w:r>
    </w:p>
    <w:p w14:paraId="18B525DA" w14:textId="2834ED34" w:rsidR="001872BB" w:rsidRPr="001872BB" w:rsidRDefault="001872BB" w:rsidP="001872BB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2"/>
        </w:rPr>
      </w:pPr>
      <w:r w:rsidRPr="001872BB">
        <w:rPr>
          <w:rFonts w:ascii="Arial" w:hAnsi="Arial" w:cs="Arial"/>
          <w:color w:val="000000" w:themeColor="text1"/>
          <w:sz w:val="20"/>
          <w:szCs w:val="22"/>
        </w:rPr>
        <w:t xml:space="preserve">Les indicateurs </w:t>
      </w:r>
      <w:r w:rsidR="00D74705">
        <w:rPr>
          <w:rFonts w:ascii="Arial" w:hAnsi="Arial" w:cs="Arial"/>
          <w:color w:val="000000" w:themeColor="text1"/>
          <w:sz w:val="20"/>
          <w:szCs w:val="22"/>
        </w:rPr>
        <w:t>« </w:t>
      </w:r>
      <w:r w:rsidRPr="001872BB">
        <w:rPr>
          <w:rFonts w:ascii="Arial" w:hAnsi="Arial" w:cs="Arial"/>
          <w:color w:val="000000" w:themeColor="text1"/>
          <w:sz w:val="20"/>
          <w:szCs w:val="22"/>
        </w:rPr>
        <w:t>USSD / Monnaie mobile</w:t>
      </w:r>
      <w:r w:rsidR="00D74705">
        <w:rPr>
          <w:rFonts w:ascii="Arial" w:hAnsi="Arial" w:cs="Arial"/>
          <w:color w:val="000000" w:themeColor="text1"/>
          <w:sz w:val="20"/>
          <w:szCs w:val="22"/>
        </w:rPr>
        <w:t> »</w:t>
      </w:r>
      <w:r w:rsidRPr="001872BB">
        <w:rPr>
          <w:rFonts w:ascii="Arial" w:hAnsi="Arial" w:cs="Arial"/>
          <w:color w:val="000000" w:themeColor="text1"/>
          <w:sz w:val="20"/>
          <w:szCs w:val="22"/>
        </w:rPr>
        <w:t xml:space="preserve"> s’appliquent aux services de Monnaie Mobile </w:t>
      </w:r>
      <w:r>
        <w:rPr>
          <w:rFonts w:ascii="Arial" w:hAnsi="Arial" w:cs="Arial"/>
          <w:color w:val="000000" w:themeColor="text1"/>
          <w:sz w:val="20"/>
          <w:szCs w:val="22"/>
        </w:rPr>
        <w:t>(mobile money) offerts</w:t>
      </w:r>
      <w:r w:rsidRPr="001872BB">
        <w:rPr>
          <w:rFonts w:ascii="Arial" w:hAnsi="Arial" w:cs="Arial"/>
          <w:color w:val="000000" w:themeColor="text1"/>
          <w:sz w:val="20"/>
          <w:szCs w:val="22"/>
        </w:rPr>
        <w:t xml:space="preserve"> par les opérateurs mais ne sont pas applicables aux services </w:t>
      </w:r>
      <w:r>
        <w:rPr>
          <w:rFonts w:ascii="Arial" w:hAnsi="Arial" w:cs="Arial"/>
          <w:color w:val="000000" w:themeColor="text1"/>
          <w:sz w:val="20"/>
          <w:szCs w:val="22"/>
        </w:rPr>
        <w:t>f</w:t>
      </w:r>
      <w:r w:rsidRPr="001872BB">
        <w:rPr>
          <w:rFonts w:ascii="Arial" w:hAnsi="Arial" w:cs="Arial"/>
          <w:color w:val="000000" w:themeColor="text1"/>
          <w:sz w:val="20"/>
          <w:szCs w:val="22"/>
        </w:rPr>
        <w:t xml:space="preserve">inanciers </w:t>
      </w:r>
      <w:r w:rsidR="00886DF4">
        <w:rPr>
          <w:rFonts w:ascii="Arial" w:hAnsi="Arial" w:cs="Arial"/>
          <w:color w:val="000000" w:themeColor="text1"/>
          <w:sz w:val="20"/>
          <w:szCs w:val="22"/>
        </w:rPr>
        <w:t>fournis</w:t>
      </w:r>
      <w:r w:rsidRPr="001872BB">
        <w:rPr>
          <w:rFonts w:ascii="Arial" w:hAnsi="Arial" w:cs="Arial"/>
          <w:color w:val="000000" w:themeColor="text1"/>
          <w:sz w:val="20"/>
          <w:szCs w:val="22"/>
        </w:rPr>
        <w:t xml:space="preserve"> par des prestataires tiers via les plateformes USSD des opérateurs.</w:t>
      </w:r>
    </w:p>
    <w:p w14:paraId="031E2169" w14:textId="4C16D3C9" w:rsidR="0041089D" w:rsidRPr="00C86052" w:rsidRDefault="0041089D" w:rsidP="00C86052">
      <w:pPr>
        <w:pStyle w:val="Paragraphedeliste"/>
        <w:rPr>
          <w:rFonts w:ascii="Arial" w:hAnsi="Arial" w:cs="Arial"/>
          <w:color w:val="000000" w:themeColor="text1"/>
          <w:sz w:val="20"/>
          <w:szCs w:val="22"/>
        </w:rPr>
      </w:pPr>
    </w:p>
    <w:sectPr w:rsidR="0041089D" w:rsidRPr="00C86052" w:rsidSect="00C86052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243D" w14:textId="77777777" w:rsidR="00C21D8F" w:rsidRDefault="00C21D8F" w:rsidP="00FA2DC6">
      <w:r>
        <w:separator/>
      </w:r>
    </w:p>
  </w:endnote>
  <w:endnote w:type="continuationSeparator" w:id="0">
    <w:p w14:paraId="0E3FAFD5" w14:textId="77777777" w:rsidR="00C21D8F" w:rsidRDefault="00C21D8F" w:rsidP="00FA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317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260C1" w14:textId="08380860" w:rsidR="00FA2DC6" w:rsidRDefault="00FA2DC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6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68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B86E5C" w14:textId="77777777" w:rsidR="00FA2DC6" w:rsidRDefault="00FA2D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45D1" w14:textId="77777777" w:rsidR="00C21D8F" w:rsidRDefault="00C21D8F" w:rsidP="00FA2DC6">
      <w:r>
        <w:separator/>
      </w:r>
    </w:p>
  </w:footnote>
  <w:footnote w:type="continuationSeparator" w:id="0">
    <w:p w14:paraId="045D15B6" w14:textId="77777777" w:rsidR="00C21D8F" w:rsidRDefault="00C21D8F" w:rsidP="00FA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D6B"/>
    <w:multiLevelType w:val="hybridMultilevel"/>
    <w:tmpl w:val="15F49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3769"/>
    <w:multiLevelType w:val="hybridMultilevel"/>
    <w:tmpl w:val="377AADA8"/>
    <w:lvl w:ilvl="0" w:tplc="4384B2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C88"/>
    <w:multiLevelType w:val="hybridMultilevel"/>
    <w:tmpl w:val="945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33AB"/>
    <w:multiLevelType w:val="hybridMultilevel"/>
    <w:tmpl w:val="1D72F960"/>
    <w:lvl w:ilvl="0" w:tplc="B0702F7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771E1"/>
    <w:multiLevelType w:val="hybridMultilevel"/>
    <w:tmpl w:val="802CBB7C"/>
    <w:lvl w:ilvl="0" w:tplc="DCB82A7E">
      <w:start w:val="9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5EE6"/>
    <w:multiLevelType w:val="hybridMultilevel"/>
    <w:tmpl w:val="69B81CD4"/>
    <w:lvl w:ilvl="0" w:tplc="C7F219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B3"/>
    <w:rsid w:val="00001D33"/>
    <w:rsid w:val="0000204D"/>
    <w:rsid w:val="000026B3"/>
    <w:rsid w:val="00006CCF"/>
    <w:rsid w:val="000070BC"/>
    <w:rsid w:val="000101B3"/>
    <w:rsid w:val="000141EE"/>
    <w:rsid w:val="000576B7"/>
    <w:rsid w:val="0006089D"/>
    <w:rsid w:val="000647D0"/>
    <w:rsid w:val="00081685"/>
    <w:rsid w:val="00082AA3"/>
    <w:rsid w:val="00085CD3"/>
    <w:rsid w:val="000861BA"/>
    <w:rsid w:val="00087365"/>
    <w:rsid w:val="000A26FE"/>
    <w:rsid w:val="000A3E85"/>
    <w:rsid w:val="000A5080"/>
    <w:rsid w:val="000B21E6"/>
    <w:rsid w:val="000B56FF"/>
    <w:rsid w:val="000C3AD9"/>
    <w:rsid w:val="000C602B"/>
    <w:rsid w:val="00115209"/>
    <w:rsid w:val="00117BEE"/>
    <w:rsid w:val="00121A93"/>
    <w:rsid w:val="0013627C"/>
    <w:rsid w:val="0014279F"/>
    <w:rsid w:val="00156F93"/>
    <w:rsid w:val="001717B2"/>
    <w:rsid w:val="00174ABC"/>
    <w:rsid w:val="0018581E"/>
    <w:rsid w:val="001872BB"/>
    <w:rsid w:val="001B6801"/>
    <w:rsid w:val="00211D53"/>
    <w:rsid w:val="002152E0"/>
    <w:rsid w:val="00221357"/>
    <w:rsid w:val="00221657"/>
    <w:rsid w:val="002237EC"/>
    <w:rsid w:val="00226FB4"/>
    <w:rsid w:val="00241D3D"/>
    <w:rsid w:val="00266588"/>
    <w:rsid w:val="00274BEE"/>
    <w:rsid w:val="00275328"/>
    <w:rsid w:val="00280F24"/>
    <w:rsid w:val="00283E49"/>
    <w:rsid w:val="00295F9E"/>
    <w:rsid w:val="002E4933"/>
    <w:rsid w:val="002E6ABC"/>
    <w:rsid w:val="002E6BDF"/>
    <w:rsid w:val="002F4570"/>
    <w:rsid w:val="003063C0"/>
    <w:rsid w:val="0030789A"/>
    <w:rsid w:val="00320EE6"/>
    <w:rsid w:val="00324239"/>
    <w:rsid w:val="0033365A"/>
    <w:rsid w:val="00341A96"/>
    <w:rsid w:val="00352184"/>
    <w:rsid w:val="00353F8E"/>
    <w:rsid w:val="003556A3"/>
    <w:rsid w:val="003567B2"/>
    <w:rsid w:val="00357CCF"/>
    <w:rsid w:val="00361D1B"/>
    <w:rsid w:val="003624AA"/>
    <w:rsid w:val="003815C5"/>
    <w:rsid w:val="0038372E"/>
    <w:rsid w:val="003921EC"/>
    <w:rsid w:val="003943F0"/>
    <w:rsid w:val="003A7FBA"/>
    <w:rsid w:val="003B64E0"/>
    <w:rsid w:val="003C43CC"/>
    <w:rsid w:val="003F080F"/>
    <w:rsid w:val="003F218E"/>
    <w:rsid w:val="003F6D79"/>
    <w:rsid w:val="00402348"/>
    <w:rsid w:val="00403F99"/>
    <w:rsid w:val="0041089D"/>
    <w:rsid w:val="00421CB8"/>
    <w:rsid w:val="004245C6"/>
    <w:rsid w:val="00434983"/>
    <w:rsid w:val="004547BD"/>
    <w:rsid w:val="00455631"/>
    <w:rsid w:val="0045662D"/>
    <w:rsid w:val="00457FF4"/>
    <w:rsid w:val="0046157D"/>
    <w:rsid w:val="00463760"/>
    <w:rsid w:val="00470858"/>
    <w:rsid w:val="00486E16"/>
    <w:rsid w:val="00494EE9"/>
    <w:rsid w:val="004B33D7"/>
    <w:rsid w:val="004C7792"/>
    <w:rsid w:val="004D1071"/>
    <w:rsid w:val="004E754F"/>
    <w:rsid w:val="004F0F2B"/>
    <w:rsid w:val="004F7E67"/>
    <w:rsid w:val="00502074"/>
    <w:rsid w:val="00514B53"/>
    <w:rsid w:val="00525185"/>
    <w:rsid w:val="0054062E"/>
    <w:rsid w:val="005543C5"/>
    <w:rsid w:val="005661AC"/>
    <w:rsid w:val="0057168F"/>
    <w:rsid w:val="00571FF9"/>
    <w:rsid w:val="00584AAF"/>
    <w:rsid w:val="005A1DB7"/>
    <w:rsid w:val="005C38C4"/>
    <w:rsid w:val="005C7FF4"/>
    <w:rsid w:val="005D29B1"/>
    <w:rsid w:val="005E7345"/>
    <w:rsid w:val="005F714F"/>
    <w:rsid w:val="00604FAB"/>
    <w:rsid w:val="00605641"/>
    <w:rsid w:val="00630821"/>
    <w:rsid w:val="00641A65"/>
    <w:rsid w:val="006428E2"/>
    <w:rsid w:val="0065019E"/>
    <w:rsid w:val="006648A7"/>
    <w:rsid w:val="006776CA"/>
    <w:rsid w:val="0068213E"/>
    <w:rsid w:val="00697158"/>
    <w:rsid w:val="006A2A36"/>
    <w:rsid w:val="006A3004"/>
    <w:rsid w:val="006A630B"/>
    <w:rsid w:val="006B0532"/>
    <w:rsid w:val="006B6FEA"/>
    <w:rsid w:val="006C0EE9"/>
    <w:rsid w:val="006C3DE3"/>
    <w:rsid w:val="006C6B12"/>
    <w:rsid w:val="006F6034"/>
    <w:rsid w:val="0071793D"/>
    <w:rsid w:val="0075368F"/>
    <w:rsid w:val="00764B82"/>
    <w:rsid w:val="00767C55"/>
    <w:rsid w:val="00770CD2"/>
    <w:rsid w:val="00772DF4"/>
    <w:rsid w:val="007C4B45"/>
    <w:rsid w:val="007C6B2F"/>
    <w:rsid w:val="007C6D9B"/>
    <w:rsid w:val="007E357F"/>
    <w:rsid w:val="007E4650"/>
    <w:rsid w:val="007F1D4E"/>
    <w:rsid w:val="007F5F1F"/>
    <w:rsid w:val="0085613F"/>
    <w:rsid w:val="00862351"/>
    <w:rsid w:val="00886DF4"/>
    <w:rsid w:val="00891176"/>
    <w:rsid w:val="00892D8B"/>
    <w:rsid w:val="00893603"/>
    <w:rsid w:val="008A3B04"/>
    <w:rsid w:val="008B0A61"/>
    <w:rsid w:val="008B2A4E"/>
    <w:rsid w:val="008E07A7"/>
    <w:rsid w:val="008E4F41"/>
    <w:rsid w:val="008F0CCB"/>
    <w:rsid w:val="008F1178"/>
    <w:rsid w:val="008F2D5E"/>
    <w:rsid w:val="008F4D88"/>
    <w:rsid w:val="00914CC7"/>
    <w:rsid w:val="00917744"/>
    <w:rsid w:val="00917D81"/>
    <w:rsid w:val="00932908"/>
    <w:rsid w:val="00933890"/>
    <w:rsid w:val="009350B0"/>
    <w:rsid w:val="00941BA9"/>
    <w:rsid w:val="0094368D"/>
    <w:rsid w:val="00946827"/>
    <w:rsid w:val="00955F83"/>
    <w:rsid w:val="009676FF"/>
    <w:rsid w:val="00985E9F"/>
    <w:rsid w:val="009A25D1"/>
    <w:rsid w:val="009A4861"/>
    <w:rsid w:val="009C0EE7"/>
    <w:rsid w:val="009C635D"/>
    <w:rsid w:val="009D6497"/>
    <w:rsid w:val="009E5DD2"/>
    <w:rsid w:val="00A073EA"/>
    <w:rsid w:val="00A14399"/>
    <w:rsid w:val="00A260F5"/>
    <w:rsid w:val="00A37AE0"/>
    <w:rsid w:val="00A4617F"/>
    <w:rsid w:val="00A56307"/>
    <w:rsid w:val="00A83257"/>
    <w:rsid w:val="00A87604"/>
    <w:rsid w:val="00A9375A"/>
    <w:rsid w:val="00A9563F"/>
    <w:rsid w:val="00AB4886"/>
    <w:rsid w:val="00AB67CC"/>
    <w:rsid w:val="00AD16F5"/>
    <w:rsid w:val="00AD3B08"/>
    <w:rsid w:val="00AE04AB"/>
    <w:rsid w:val="00AE2DBB"/>
    <w:rsid w:val="00AE6A67"/>
    <w:rsid w:val="00AF62E0"/>
    <w:rsid w:val="00B03C2F"/>
    <w:rsid w:val="00B14547"/>
    <w:rsid w:val="00B1763E"/>
    <w:rsid w:val="00B2108A"/>
    <w:rsid w:val="00B22852"/>
    <w:rsid w:val="00B4538F"/>
    <w:rsid w:val="00B47CDD"/>
    <w:rsid w:val="00B5499C"/>
    <w:rsid w:val="00B62401"/>
    <w:rsid w:val="00B76BA4"/>
    <w:rsid w:val="00B85C96"/>
    <w:rsid w:val="00B86120"/>
    <w:rsid w:val="00B86A03"/>
    <w:rsid w:val="00BB0A5C"/>
    <w:rsid w:val="00BB579D"/>
    <w:rsid w:val="00BC66DB"/>
    <w:rsid w:val="00BC789D"/>
    <w:rsid w:val="00BD7061"/>
    <w:rsid w:val="00C03F19"/>
    <w:rsid w:val="00C0435A"/>
    <w:rsid w:val="00C203FE"/>
    <w:rsid w:val="00C21D8F"/>
    <w:rsid w:val="00C22C38"/>
    <w:rsid w:val="00C23567"/>
    <w:rsid w:val="00C3604D"/>
    <w:rsid w:val="00C52202"/>
    <w:rsid w:val="00C81043"/>
    <w:rsid w:val="00C86052"/>
    <w:rsid w:val="00C869CF"/>
    <w:rsid w:val="00CA4012"/>
    <w:rsid w:val="00CA644F"/>
    <w:rsid w:val="00CB2A7E"/>
    <w:rsid w:val="00CB50B1"/>
    <w:rsid w:val="00CC0855"/>
    <w:rsid w:val="00CD3F8D"/>
    <w:rsid w:val="00CD6914"/>
    <w:rsid w:val="00CF309F"/>
    <w:rsid w:val="00CF5197"/>
    <w:rsid w:val="00CF5697"/>
    <w:rsid w:val="00CF5978"/>
    <w:rsid w:val="00CF5DED"/>
    <w:rsid w:val="00D14114"/>
    <w:rsid w:val="00D16053"/>
    <w:rsid w:val="00D17634"/>
    <w:rsid w:val="00D35B44"/>
    <w:rsid w:val="00D35B90"/>
    <w:rsid w:val="00D375B4"/>
    <w:rsid w:val="00D45BCA"/>
    <w:rsid w:val="00D478B2"/>
    <w:rsid w:val="00D54C1C"/>
    <w:rsid w:val="00D74705"/>
    <w:rsid w:val="00D80438"/>
    <w:rsid w:val="00D8308B"/>
    <w:rsid w:val="00DA1480"/>
    <w:rsid w:val="00DA1AA7"/>
    <w:rsid w:val="00DB2CB7"/>
    <w:rsid w:val="00DB333A"/>
    <w:rsid w:val="00DB4646"/>
    <w:rsid w:val="00DD16F6"/>
    <w:rsid w:val="00DD3D06"/>
    <w:rsid w:val="00DE4DCF"/>
    <w:rsid w:val="00DF1DF2"/>
    <w:rsid w:val="00DF1F77"/>
    <w:rsid w:val="00DF6310"/>
    <w:rsid w:val="00E238B4"/>
    <w:rsid w:val="00E36752"/>
    <w:rsid w:val="00E505E1"/>
    <w:rsid w:val="00E52907"/>
    <w:rsid w:val="00E76413"/>
    <w:rsid w:val="00E77DCC"/>
    <w:rsid w:val="00E834F2"/>
    <w:rsid w:val="00E87224"/>
    <w:rsid w:val="00E872FE"/>
    <w:rsid w:val="00E9178C"/>
    <w:rsid w:val="00EC2AEF"/>
    <w:rsid w:val="00ED7349"/>
    <w:rsid w:val="00EE0F57"/>
    <w:rsid w:val="00F00AB9"/>
    <w:rsid w:val="00F07188"/>
    <w:rsid w:val="00F216A2"/>
    <w:rsid w:val="00F35229"/>
    <w:rsid w:val="00F7003E"/>
    <w:rsid w:val="00F77E0F"/>
    <w:rsid w:val="00F84BEA"/>
    <w:rsid w:val="00FA2067"/>
    <w:rsid w:val="00FA2DC6"/>
    <w:rsid w:val="00FB6C04"/>
    <w:rsid w:val="00FC4A7A"/>
    <w:rsid w:val="00FC6672"/>
    <w:rsid w:val="00FC6A5C"/>
    <w:rsid w:val="00FD4056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AC3B"/>
  <w15:chartTrackingRefBased/>
  <w15:docId w15:val="{65EBA38F-007C-43B3-A04F-07924CC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B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01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01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45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570"/>
    <w:rPr>
      <w:rFonts w:ascii="Segoe UI" w:eastAsia="SimSun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FA2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DC6"/>
    <w:rPr>
      <w:rFonts w:ascii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A2D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2DC6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TCHA-TCHESSI</dc:creator>
  <cp:keywords/>
  <dc:description/>
  <cp:lastModifiedBy>Abdel</cp:lastModifiedBy>
  <cp:revision>18</cp:revision>
  <cp:lastPrinted>2021-01-05T15:50:00Z</cp:lastPrinted>
  <dcterms:created xsi:type="dcterms:W3CDTF">2021-01-07T17:14:00Z</dcterms:created>
  <dcterms:modified xsi:type="dcterms:W3CDTF">2021-01-08T16:26:00Z</dcterms:modified>
</cp:coreProperties>
</file>